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5E" w:rsidRDefault="005D755E" w:rsidP="00AA18BB">
      <w:pPr>
        <w:pStyle w:val="NoSpacing"/>
        <w:spacing w:after="120"/>
        <w:jc w:val="both"/>
        <w:rPr>
          <w:sz w:val="21"/>
          <w:szCs w:val="21"/>
        </w:rPr>
      </w:pPr>
    </w:p>
    <w:p w:rsidR="00367040" w:rsidRPr="006D11AD" w:rsidRDefault="00FC1055" w:rsidP="00AA18BB">
      <w:pPr>
        <w:pStyle w:val="NoSpacing"/>
        <w:spacing w:after="120"/>
        <w:jc w:val="both"/>
        <w:rPr>
          <w:sz w:val="21"/>
          <w:szCs w:val="21"/>
        </w:rPr>
      </w:pPr>
      <w:r w:rsidRPr="006D11AD">
        <w:rPr>
          <w:sz w:val="21"/>
          <w:szCs w:val="21"/>
        </w:rPr>
        <w:t xml:space="preserve">Advocacy is a vital component in lifting 15,000 households out of poverty and into financial stability by 2028. This public policy agenda represents current positions of United Way of Pierce County as well as supportive positions for the multiple partners leading work to reduce barriers for struggling families or individuals. To tackle deeply entrenched and complex social problems we </w:t>
      </w:r>
      <w:r w:rsidR="00BF2607" w:rsidRPr="006D11AD">
        <w:rPr>
          <w:sz w:val="21"/>
          <w:szCs w:val="21"/>
        </w:rPr>
        <w:t xml:space="preserve">need to collaborate to achieve </w:t>
      </w:r>
      <w:r w:rsidRPr="006D11AD">
        <w:rPr>
          <w:sz w:val="21"/>
          <w:szCs w:val="21"/>
        </w:rPr>
        <w:t>significant and lasting social change. No single policy, government department, organization or program can tackle or solve the increasingly complex problem of poverty.</w:t>
      </w:r>
    </w:p>
    <w:p w:rsidR="00FC1055" w:rsidRPr="006D11AD" w:rsidRDefault="00FC1055" w:rsidP="00AA18BB">
      <w:pPr>
        <w:pStyle w:val="NoSpacing"/>
        <w:jc w:val="center"/>
        <w:rPr>
          <w:b/>
          <w:bCs/>
          <w:color w:val="002060"/>
          <w:sz w:val="21"/>
          <w:szCs w:val="21"/>
        </w:rPr>
      </w:pPr>
      <w:r w:rsidRPr="006D11AD">
        <w:rPr>
          <w:b/>
          <w:bCs/>
          <w:color w:val="002060"/>
          <w:sz w:val="21"/>
          <w:szCs w:val="21"/>
        </w:rPr>
        <w:t>TIER 1 PRIORITIES</w:t>
      </w:r>
    </w:p>
    <w:p w:rsidR="00FC1055" w:rsidRPr="006D11AD" w:rsidRDefault="00FC1055" w:rsidP="00762782">
      <w:pPr>
        <w:pStyle w:val="NoSpacing"/>
        <w:spacing w:after="120"/>
        <w:jc w:val="both"/>
        <w:rPr>
          <w:b/>
          <w:bCs/>
          <w:color w:val="002060"/>
          <w:sz w:val="21"/>
          <w:szCs w:val="21"/>
        </w:rPr>
      </w:pPr>
      <w:r w:rsidRPr="006D11AD">
        <w:rPr>
          <w:b/>
          <w:bCs/>
          <w:color w:val="002060"/>
          <w:sz w:val="21"/>
          <w:szCs w:val="21"/>
        </w:rPr>
        <w:t>STABLE INDIVIDUALS</w:t>
      </w:r>
    </w:p>
    <w:p w:rsidR="00FC1055" w:rsidRPr="006D11AD" w:rsidRDefault="00BF2607" w:rsidP="00AA18BB">
      <w:pPr>
        <w:pStyle w:val="NoSpacing"/>
        <w:spacing w:after="160"/>
        <w:jc w:val="both"/>
        <w:rPr>
          <w:sz w:val="21"/>
          <w:szCs w:val="21"/>
        </w:rPr>
      </w:pPr>
      <w:r w:rsidRPr="006D11AD">
        <w:rPr>
          <w:b/>
          <w:bCs/>
          <w:color w:val="C00000"/>
          <w:sz w:val="21"/>
          <w:szCs w:val="21"/>
        </w:rPr>
        <w:t xml:space="preserve">Washington 2-1-1 </w:t>
      </w:r>
      <w:r w:rsidR="00FC1055" w:rsidRPr="006D11AD">
        <w:rPr>
          <w:b/>
          <w:bCs/>
          <w:color w:val="C00000"/>
          <w:sz w:val="21"/>
          <w:szCs w:val="21"/>
        </w:rPr>
        <w:t>[Capital Budget]</w:t>
      </w:r>
      <w:r w:rsidRPr="006D11AD">
        <w:rPr>
          <w:b/>
          <w:bCs/>
          <w:color w:val="2D4E6B"/>
          <w:sz w:val="21"/>
          <w:szCs w:val="21"/>
        </w:rPr>
        <w:t xml:space="preserve"> - </w:t>
      </w:r>
      <w:r w:rsidR="00FC1055" w:rsidRPr="006D11AD">
        <w:rPr>
          <w:sz w:val="21"/>
          <w:szCs w:val="21"/>
        </w:rPr>
        <w:t>The WA211 network is requesting one-time capital and infrastructure funds for our regional contact centers. While we are grateful for support of our backbone cloud based phone and resource database systems, regional centers have sustained operations with their own hardware, equipment, and office infrastructure. Upgrading capital needs will help improve quality service and transition of center locations. WA211 has only received an award of capital funds once – at launch of our statewide system in 2006.</w:t>
      </w:r>
    </w:p>
    <w:p w:rsidR="00FC1055" w:rsidRPr="006D11AD" w:rsidRDefault="00BF2607" w:rsidP="00762782">
      <w:pPr>
        <w:pStyle w:val="NoSpacing"/>
        <w:spacing w:after="120"/>
        <w:jc w:val="both"/>
        <w:rPr>
          <w:b/>
          <w:color w:val="002060"/>
          <w:sz w:val="21"/>
          <w:szCs w:val="21"/>
          <w14:ligatures w14:val="none"/>
        </w:rPr>
      </w:pPr>
      <w:r w:rsidRPr="006D11AD">
        <w:rPr>
          <w:b/>
          <w:color w:val="002060"/>
          <w:sz w:val="21"/>
          <w:szCs w:val="21"/>
          <w14:ligatures w14:val="none"/>
        </w:rPr>
        <w:t>STRONG FAMILIES</w:t>
      </w:r>
    </w:p>
    <w:p w:rsidR="00BF2607" w:rsidRPr="006D11AD" w:rsidRDefault="00BF2607" w:rsidP="00AA18BB">
      <w:pPr>
        <w:pStyle w:val="NoSpacing"/>
        <w:spacing w:after="120"/>
        <w:jc w:val="both"/>
        <w:rPr>
          <w:sz w:val="21"/>
          <w:szCs w:val="21"/>
          <w14:ligatures w14:val="none"/>
        </w:rPr>
      </w:pPr>
      <w:r w:rsidRPr="006D11AD">
        <w:rPr>
          <w:b/>
          <w:bCs/>
          <w:color w:val="C00000"/>
          <w:sz w:val="21"/>
          <w:szCs w:val="21"/>
          <w14:ligatures w14:val="none"/>
        </w:rPr>
        <w:t>Temporary Assistance for Needy Families</w:t>
      </w:r>
      <w:r w:rsidR="009E2799">
        <w:rPr>
          <w:b/>
          <w:bCs/>
          <w:color w:val="C00000"/>
          <w:sz w:val="21"/>
          <w:szCs w:val="21"/>
          <w14:ligatures w14:val="none"/>
        </w:rPr>
        <w:t xml:space="preserve"> (TANF)</w:t>
      </w:r>
      <w:r w:rsidRPr="006D11AD">
        <w:rPr>
          <w:b/>
          <w:bCs/>
          <w:color w:val="C00000"/>
          <w:sz w:val="21"/>
          <w:szCs w:val="21"/>
          <w14:ligatures w14:val="none"/>
        </w:rPr>
        <w:t xml:space="preserve"> </w:t>
      </w:r>
      <w:r w:rsidR="009E2799">
        <w:rPr>
          <w:color w:val="C00000"/>
          <w:sz w:val="21"/>
          <w:szCs w:val="21"/>
          <w14:ligatures w14:val="none"/>
        </w:rPr>
        <w:t xml:space="preserve">– </w:t>
      </w:r>
      <w:r w:rsidR="009E2799">
        <w:rPr>
          <w:b/>
          <w:color w:val="C00000"/>
          <w:sz w:val="21"/>
          <w:szCs w:val="21"/>
          <w14:ligatures w14:val="none"/>
        </w:rPr>
        <w:t xml:space="preserve">TANF </w:t>
      </w:r>
      <w:r w:rsidRPr="006D11AD">
        <w:rPr>
          <w:b/>
          <w:bCs/>
          <w:color w:val="C00000"/>
          <w:sz w:val="21"/>
          <w:szCs w:val="21"/>
          <w14:ligatures w14:val="none"/>
        </w:rPr>
        <w:t xml:space="preserve">Policy </w:t>
      </w:r>
      <w:r w:rsidRPr="00A93B50">
        <w:rPr>
          <w:b/>
          <w:bCs/>
          <w:color w:val="C00000"/>
          <w:sz w:val="21"/>
          <w:szCs w:val="21"/>
          <w14:ligatures w14:val="none"/>
        </w:rPr>
        <w:t xml:space="preserve">Restoration </w:t>
      </w:r>
      <w:r w:rsidR="009E2799" w:rsidRPr="00A93B50">
        <w:rPr>
          <w:b/>
          <w:bCs/>
          <w:color w:val="C00000"/>
          <w:sz w:val="21"/>
          <w:szCs w:val="21"/>
          <w14:ligatures w14:val="none"/>
        </w:rPr>
        <w:t>[SB 6478/HB 2441]</w:t>
      </w:r>
      <w:r w:rsidR="009E2799">
        <w:rPr>
          <w:b/>
          <w:bCs/>
          <w:color w:val="C00000"/>
          <w:sz w:val="21"/>
          <w:szCs w:val="21"/>
          <w14:ligatures w14:val="none"/>
        </w:rPr>
        <w:t xml:space="preserve"> </w:t>
      </w:r>
      <w:r w:rsidR="009E2799" w:rsidRPr="009E2799">
        <w:rPr>
          <w:b/>
          <w:bCs/>
          <w:color w:val="auto"/>
          <w:sz w:val="21"/>
          <w:szCs w:val="21"/>
          <w14:ligatures w14:val="none"/>
        </w:rPr>
        <w:t xml:space="preserve">- </w:t>
      </w:r>
      <w:r w:rsidR="009E2799">
        <w:rPr>
          <w:sz w:val="21"/>
          <w:szCs w:val="21"/>
          <w14:ligatures w14:val="none"/>
        </w:rPr>
        <w:t>TANF</w:t>
      </w:r>
      <w:r w:rsidRPr="006D11AD">
        <w:rPr>
          <w:sz w:val="21"/>
          <w:szCs w:val="21"/>
          <w14:ligatures w14:val="none"/>
        </w:rPr>
        <w:t xml:space="preserve"> Washington state protects families with children from the harmful effects of deep poverty with TANF/</w:t>
      </w:r>
      <w:proofErr w:type="spellStart"/>
      <w:r w:rsidRPr="006D11AD">
        <w:rPr>
          <w:sz w:val="21"/>
          <w:szCs w:val="21"/>
          <w14:ligatures w14:val="none"/>
        </w:rPr>
        <w:t>WorkFirst</w:t>
      </w:r>
      <w:proofErr w:type="spellEnd"/>
      <w:r w:rsidRPr="006D11AD">
        <w:rPr>
          <w:sz w:val="21"/>
          <w:szCs w:val="21"/>
          <w14:ligatures w14:val="none"/>
        </w:rPr>
        <w:t xml:space="preserve">. TANF provides cash assistance and child care to families while parents participate in </w:t>
      </w:r>
      <w:proofErr w:type="spellStart"/>
      <w:r w:rsidRPr="006D11AD">
        <w:rPr>
          <w:sz w:val="21"/>
          <w:szCs w:val="21"/>
          <w14:ligatures w14:val="none"/>
        </w:rPr>
        <w:t>WorkFirst</w:t>
      </w:r>
      <w:proofErr w:type="spellEnd"/>
      <w:r w:rsidRPr="006D11AD">
        <w:rPr>
          <w:sz w:val="21"/>
          <w:szCs w:val="21"/>
          <w14:ligatures w14:val="none"/>
        </w:rPr>
        <w:t>, which helps with job searching, training, and addressing barriers to employment. While deep poverty has remained stubbornly persistent in Washington state, the number of families who are able to access TANF has plummeted to an all-time low of less than 25,000 households due to punitive policy changes at the state level during the recession. We support two key restorations of recession-era changes to the program.</w:t>
      </w:r>
    </w:p>
    <w:p w:rsidR="00BF2607" w:rsidRPr="006D11AD" w:rsidRDefault="00BF2607" w:rsidP="00AA18BB">
      <w:pPr>
        <w:pStyle w:val="NoSpacing"/>
        <w:numPr>
          <w:ilvl w:val="0"/>
          <w:numId w:val="1"/>
        </w:numPr>
        <w:ind w:left="547"/>
        <w:jc w:val="both"/>
        <w:rPr>
          <w:sz w:val="21"/>
          <w:szCs w:val="21"/>
          <w14:ligatures w14:val="none"/>
        </w:rPr>
      </w:pPr>
      <w:r w:rsidRPr="006D11AD">
        <w:rPr>
          <w:sz w:val="21"/>
          <w:szCs w:val="21"/>
          <w14:ligatures w14:val="none"/>
        </w:rPr>
        <w:t>Undo harsh recession-era policies that keep families from accessing TANF assistance. These include enacting commonsense time limit extensions and easing harsh sanction policies, including full-family sanctions that entirely eliminates a family’s grant wh</w:t>
      </w:r>
      <w:r w:rsidR="0031565C" w:rsidRPr="006D11AD">
        <w:rPr>
          <w:sz w:val="21"/>
          <w:szCs w:val="21"/>
          <w14:ligatures w14:val="none"/>
        </w:rPr>
        <w:t>en they are in sanction status.</w:t>
      </w:r>
    </w:p>
    <w:p w:rsidR="00BF2607" w:rsidRPr="006D11AD" w:rsidRDefault="00BF2607" w:rsidP="00AA18BB">
      <w:pPr>
        <w:pStyle w:val="NoSpacing"/>
        <w:numPr>
          <w:ilvl w:val="0"/>
          <w:numId w:val="1"/>
        </w:numPr>
        <w:spacing w:after="160"/>
        <w:ind w:left="547"/>
        <w:jc w:val="both"/>
        <w:rPr>
          <w:sz w:val="21"/>
          <w:szCs w:val="21"/>
          <w14:ligatures w14:val="none"/>
        </w:rPr>
      </w:pPr>
      <w:r w:rsidRPr="006D11AD">
        <w:rPr>
          <w:sz w:val="21"/>
          <w:szCs w:val="21"/>
          <w14:ligatures w14:val="none"/>
        </w:rPr>
        <w:t>Re-instate the Child Support Pass-Through for TANF families, which would allow families to receive a portion of their child support payments currently withheld entirely by the state. Lead agency: Poverty Action Network; Supporting Agency: United Way</w:t>
      </w:r>
      <w:r w:rsidR="0031565C" w:rsidRPr="006D11AD">
        <w:rPr>
          <w:sz w:val="21"/>
          <w:szCs w:val="21"/>
          <w14:ligatures w14:val="none"/>
        </w:rPr>
        <w:t>.</w:t>
      </w:r>
    </w:p>
    <w:p w:rsidR="00BF2607" w:rsidRPr="006D11AD" w:rsidRDefault="00BF2607" w:rsidP="00762782">
      <w:pPr>
        <w:pStyle w:val="NoSpacing"/>
        <w:spacing w:after="120"/>
        <w:jc w:val="both"/>
        <w:rPr>
          <w:b/>
          <w:color w:val="002060"/>
          <w:sz w:val="21"/>
          <w:szCs w:val="21"/>
          <w14:ligatures w14:val="none"/>
        </w:rPr>
      </w:pPr>
      <w:r w:rsidRPr="006D11AD">
        <w:rPr>
          <w:b/>
          <w:color w:val="002060"/>
          <w:sz w:val="21"/>
          <w:szCs w:val="21"/>
          <w14:ligatures w14:val="none"/>
        </w:rPr>
        <w:t>SUCCESSFUL KIDS</w:t>
      </w:r>
    </w:p>
    <w:p w:rsidR="009E2799" w:rsidRPr="00A93B50" w:rsidRDefault="006A1094" w:rsidP="00AA18BB">
      <w:pPr>
        <w:pStyle w:val="NoSpacing"/>
        <w:spacing w:after="120"/>
        <w:jc w:val="both"/>
        <w:rPr>
          <w:bCs/>
          <w:color w:val="auto"/>
          <w:sz w:val="21"/>
          <w:szCs w:val="21"/>
          <w14:ligatures w14:val="none"/>
        </w:rPr>
      </w:pPr>
      <w:r>
        <w:rPr>
          <w:b/>
          <w:bCs/>
          <w:color w:val="C00000"/>
          <w:sz w:val="21"/>
          <w:szCs w:val="21"/>
          <w14:ligatures w14:val="none"/>
        </w:rPr>
        <w:t xml:space="preserve">The Fair Start for Kids Act - </w:t>
      </w:r>
      <w:r w:rsidR="00BF2607" w:rsidRPr="006D11AD">
        <w:rPr>
          <w:b/>
          <w:bCs/>
          <w:color w:val="C00000"/>
          <w:sz w:val="21"/>
          <w:szCs w:val="21"/>
          <w14:ligatures w14:val="none"/>
        </w:rPr>
        <w:t>Increase Access and Affordability of High-Quality, linguistically relevant early learning including child care and preschool that meets family</w:t>
      </w:r>
      <w:r w:rsidR="00BF3865">
        <w:rPr>
          <w:b/>
          <w:bCs/>
          <w:color w:val="C00000"/>
          <w:sz w:val="21"/>
          <w:szCs w:val="21"/>
          <w14:ligatures w14:val="none"/>
        </w:rPr>
        <w:t>’</w:t>
      </w:r>
      <w:r>
        <w:rPr>
          <w:b/>
          <w:bCs/>
          <w:color w:val="C00000"/>
          <w:sz w:val="21"/>
          <w:szCs w:val="21"/>
          <w14:ligatures w14:val="none"/>
        </w:rPr>
        <w:t>s needs and choices [SHB 2661]</w:t>
      </w:r>
      <w:r w:rsidR="0031565C" w:rsidRPr="006D11AD">
        <w:rPr>
          <w:b/>
          <w:bCs/>
          <w:color w:val="auto"/>
          <w:sz w:val="21"/>
          <w:szCs w:val="21"/>
          <w14:ligatures w14:val="none"/>
        </w:rPr>
        <w:t xml:space="preserve"> </w:t>
      </w:r>
      <w:r w:rsidR="000E686D">
        <w:rPr>
          <w:b/>
          <w:bCs/>
          <w:color w:val="auto"/>
          <w:sz w:val="21"/>
          <w:szCs w:val="21"/>
          <w14:ligatures w14:val="none"/>
        </w:rPr>
        <w:t>–</w:t>
      </w:r>
      <w:r w:rsidR="0031565C" w:rsidRPr="006D11AD">
        <w:rPr>
          <w:b/>
          <w:bCs/>
          <w:color w:val="auto"/>
          <w:sz w:val="21"/>
          <w:szCs w:val="21"/>
          <w14:ligatures w14:val="none"/>
        </w:rPr>
        <w:t xml:space="preserve"> </w:t>
      </w:r>
      <w:r w:rsidR="000E686D">
        <w:rPr>
          <w:sz w:val="21"/>
          <w:szCs w:val="21"/>
          <w14:ligatures w14:val="none"/>
        </w:rPr>
        <w:t>Affordable and accessible child care helps families by allowing parents to build a career</w:t>
      </w:r>
      <w:r w:rsidR="000403B5">
        <w:rPr>
          <w:sz w:val="21"/>
          <w:szCs w:val="21"/>
          <w14:ligatures w14:val="none"/>
        </w:rPr>
        <w:t xml:space="preserve"> and contribute to our economy, as well as help businesses reduce staff turnover.</w:t>
      </w:r>
      <w:r w:rsidR="000403B5" w:rsidRPr="000403B5">
        <w:rPr>
          <w:bCs/>
          <w:color w:val="auto"/>
          <w:sz w:val="21"/>
          <w:szCs w:val="21"/>
          <w14:ligatures w14:val="none"/>
        </w:rPr>
        <w:t xml:space="preserve"> </w:t>
      </w:r>
      <w:r w:rsidR="000403B5">
        <w:rPr>
          <w:bCs/>
          <w:color w:val="auto"/>
          <w:sz w:val="21"/>
          <w:szCs w:val="21"/>
          <w14:ligatures w14:val="none"/>
        </w:rPr>
        <w:t>Children with access to early education programs read earlier, graduate high school at higher rates and have more professional opportunities.</w:t>
      </w:r>
      <w:r w:rsidR="00A93B50">
        <w:rPr>
          <w:bCs/>
          <w:color w:val="auto"/>
          <w:sz w:val="21"/>
          <w:szCs w:val="21"/>
          <w14:ligatures w14:val="none"/>
        </w:rPr>
        <w:t xml:space="preserve"> </w:t>
      </w:r>
      <w:r w:rsidR="00BF2607" w:rsidRPr="006D11AD">
        <w:rPr>
          <w:sz w:val="21"/>
          <w:szCs w:val="21"/>
          <w14:ligatures w14:val="none"/>
        </w:rPr>
        <w:t>Invest</w:t>
      </w:r>
      <w:r w:rsidR="000403B5">
        <w:rPr>
          <w:sz w:val="21"/>
          <w:szCs w:val="21"/>
          <w14:ligatures w14:val="none"/>
        </w:rPr>
        <w:t>ing</w:t>
      </w:r>
      <w:r w:rsidR="00BF2607" w:rsidRPr="006D11AD">
        <w:rPr>
          <w:sz w:val="21"/>
          <w:szCs w:val="21"/>
          <w14:ligatures w14:val="none"/>
        </w:rPr>
        <w:t xml:space="preserve"> $5 million to ensure the Early Childhood Education Assistance Program (ECEAP) can meet the needs of children and families. </w:t>
      </w:r>
    </w:p>
    <w:p w:rsidR="009E2799" w:rsidRDefault="00BF2607" w:rsidP="009E2799">
      <w:pPr>
        <w:pStyle w:val="NoSpacing"/>
        <w:numPr>
          <w:ilvl w:val="0"/>
          <w:numId w:val="2"/>
        </w:numPr>
        <w:spacing w:after="120"/>
        <w:jc w:val="both"/>
        <w:rPr>
          <w:sz w:val="21"/>
          <w:szCs w:val="21"/>
          <w14:ligatures w14:val="none"/>
        </w:rPr>
      </w:pPr>
      <w:r w:rsidRPr="006D11AD">
        <w:rPr>
          <w:sz w:val="21"/>
          <w:szCs w:val="21"/>
          <w14:ligatures w14:val="none"/>
        </w:rPr>
        <w:t xml:space="preserve">Fix the Working Connections Child Care co-pay structure so small pay advancements for hardworking families do not lead to large childcare bills. </w:t>
      </w:r>
    </w:p>
    <w:p w:rsidR="009E2799" w:rsidRDefault="00BF2607" w:rsidP="009E2799">
      <w:pPr>
        <w:pStyle w:val="NoSpacing"/>
        <w:numPr>
          <w:ilvl w:val="0"/>
          <w:numId w:val="2"/>
        </w:numPr>
        <w:spacing w:after="120"/>
        <w:jc w:val="both"/>
        <w:rPr>
          <w:sz w:val="21"/>
          <w:szCs w:val="21"/>
          <w14:ligatures w14:val="none"/>
        </w:rPr>
      </w:pPr>
      <w:r w:rsidRPr="006D11AD">
        <w:rPr>
          <w:sz w:val="21"/>
          <w:szCs w:val="21"/>
          <w14:ligatures w14:val="none"/>
        </w:rPr>
        <w:t>Invest $3 million to fund continuity of high</w:t>
      </w:r>
      <w:r w:rsidR="0031565C" w:rsidRPr="006D11AD">
        <w:rPr>
          <w:sz w:val="21"/>
          <w:szCs w:val="21"/>
          <w14:ligatures w14:val="none"/>
        </w:rPr>
        <w:t xml:space="preserve"> </w:t>
      </w:r>
      <w:r w:rsidRPr="006D11AD">
        <w:rPr>
          <w:sz w:val="21"/>
          <w:szCs w:val="21"/>
          <w14:ligatures w14:val="none"/>
        </w:rPr>
        <w:t xml:space="preserve">quality child care for families experiencing homelessness. </w:t>
      </w:r>
    </w:p>
    <w:p w:rsidR="009E2799" w:rsidRPr="009E2799" w:rsidRDefault="00BF2607" w:rsidP="009E2799">
      <w:pPr>
        <w:pStyle w:val="NoSpacing"/>
        <w:numPr>
          <w:ilvl w:val="0"/>
          <w:numId w:val="2"/>
        </w:numPr>
        <w:spacing w:after="120"/>
        <w:jc w:val="both"/>
        <w:rPr>
          <w:sz w:val="21"/>
          <w:szCs w:val="21"/>
          <w14:ligatures w14:val="none"/>
        </w:rPr>
      </w:pPr>
      <w:r w:rsidRPr="006D11AD">
        <w:rPr>
          <w:sz w:val="21"/>
          <w:szCs w:val="21"/>
          <w14:ligatures w14:val="none"/>
        </w:rPr>
        <w:t xml:space="preserve">Expand the number of dual language early learning programs so children can receive high-quality early learning in their home language. </w:t>
      </w:r>
      <w:r w:rsidRPr="006D11AD">
        <w:rPr>
          <w:b/>
          <w:bCs/>
          <w:sz w:val="21"/>
          <w:szCs w:val="21"/>
          <w14:ligatures w14:val="none"/>
        </w:rPr>
        <w:t xml:space="preserve"> </w:t>
      </w:r>
    </w:p>
    <w:p w:rsidR="000403B5" w:rsidRPr="000403B5" w:rsidRDefault="00BF2607" w:rsidP="000403B5">
      <w:pPr>
        <w:pStyle w:val="NoSpacing"/>
        <w:numPr>
          <w:ilvl w:val="0"/>
          <w:numId w:val="2"/>
        </w:numPr>
        <w:spacing w:after="120"/>
        <w:jc w:val="both"/>
        <w:rPr>
          <w:sz w:val="21"/>
          <w:szCs w:val="21"/>
          <w14:ligatures w14:val="none"/>
        </w:rPr>
      </w:pPr>
      <w:r w:rsidRPr="006D11AD">
        <w:rPr>
          <w:sz w:val="21"/>
          <w:szCs w:val="21"/>
          <w14:ligatures w14:val="none"/>
        </w:rPr>
        <w:t>Prioritize access to high-quality child care for infants and toddlers by increase the Working Connections Child Care reimbursement rate.</w:t>
      </w:r>
    </w:p>
    <w:p w:rsidR="00BF2607" w:rsidRPr="006D11AD" w:rsidRDefault="00BF2607" w:rsidP="00AA18BB">
      <w:pPr>
        <w:pStyle w:val="NoSpacing"/>
        <w:spacing w:after="120"/>
        <w:jc w:val="both"/>
        <w:rPr>
          <w:sz w:val="21"/>
          <w:szCs w:val="21"/>
          <w14:ligatures w14:val="none"/>
        </w:rPr>
      </w:pPr>
      <w:r w:rsidRPr="006D11AD">
        <w:rPr>
          <w:b/>
          <w:bCs/>
          <w:color w:val="C00000"/>
          <w:sz w:val="21"/>
          <w:szCs w:val="21"/>
          <w14:ligatures w14:val="none"/>
        </w:rPr>
        <w:t xml:space="preserve">Early Learning </w:t>
      </w:r>
      <w:r w:rsidRPr="005B3FF0">
        <w:rPr>
          <w:b/>
          <w:bCs/>
          <w:color w:val="C00000"/>
          <w:sz w:val="21"/>
          <w:szCs w:val="21"/>
          <w14:ligatures w14:val="none"/>
        </w:rPr>
        <w:t>Workforce</w:t>
      </w:r>
      <w:r w:rsidRPr="005B3FF0">
        <w:rPr>
          <w:b/>
          <w:color w:val="C00000"/>
          <w:sz w:val="21"/>
          <w:szCs w:val="21"/>
          <w14:ligatures w14:val="none"/>
        </w:rPr>
        <w:t xml:space="preserve"> </w:t>
      </w:r>
      <w:r w:rsidR="005B3FF0" w:rsidRPr="005B3FF0">
        <w:rPr>
          <w:b/>
          <w:color w:val="C00000"/>
          <w:sz w:val="21"/>
          <w:szCs w:val="21"/>
          <w14:ligatures w14:val="none"/>
        </w:rPr>
        <w:t>[HB 2556]</w:t>
      </w:r>
      <w:r w:rsidR="005B3FF0">
        <w:rPr>
          <w:sz w:val="21"/>
          <w:szCs w:val="21"/>
          <w14:ligatures w14:val="none"/>
        </w:rPr>
        <w:t xml:space="preserve"> </w:t>
      </w:r>
      <w:r w:rsidRPr="006D11AD">
        <w:rPr>
          <w:sz w:val="21"/>
          <w:szCs w:val="21"/>
          <w14:ligatures w14:val="none"/>
        </w:rPr>
        <w:t xml:space="preserve">in Washington is diverse, qualified and well-compensated. Early care and education providers are adequately resourced to deliver quality care and education. Expand and fund community based pathways so the early childhood education workforce can meet required credentials. </w:t>
      </w:r>
      <w:r w:rsidRPr="006D11AD">
        <w:rPr>
          <w:i/>
          <w:iCs/>
          <w:sz w:val="21"/>
          <w:szCs w:val="21"/>
          <w14:ligatures w14:val="none"/>
        </w:rPr>
        <w:t xml:space="preserve">Lead agency: </w:t>
      </w:r>
      <w:r w:rsidRPr="006D11AD">
        <w:rPr>
          <w:sz w:val="21"/>
          <w:szCs w:val="21"/>
          <w14:ligatures w14:val="none"/>
        </w:rPr>
        <w:t xml:space="preserve">Early Learning Action Alliance; </w:t>
      </w:r>
      <w:r w:rsidRPr="006D11AD">
        <w:rPr>
          <w:i/>
          <w:iCs/>
          <w:sz w:val="21"/>
          <w:szCs w:val="21"/>
          <w14:ligatures w14:val="none"/>
        </w:rPr>
        <w:t xml:space="preserve">Supporting agencies: </w:t>
      </w:r>
      <w:r w:rsidRPr="006D11AD">
        <w:rPr>
          <w:sz w:val="21"/>
          <w:szCs w:val="21"/>
          <w14:ligatures w14:val="none"/>
        </w:rPr>
        <w:t>United Way, and Project Child Success.</w:t>
      </w:r>
    </w:p>
    <w:p w:rsidR="00BF2607" w:rsidRPr="006D11AD" w:rsidRDefault="00BF2607" w:rsidP="00AA18BB">
      <w:pPr>
        <w:pStyle w:val="NoSpacing"/>
        <w:spacing w:after="120"/>
        <w:jc w:val="both"/>
        <w:rPr>
          <w:sz w:val="21"/>
          <w:szCs w:val="21"/>
          <w14:ligatures w14:val="none"/>
        </w:rPr>
      </w:pPr>
      <w:r w:rsidRPr="006D11AD">
        <w:rPr>
          <w:b/>
          <w:bCs/>
          <w:color w:val="C00000"/>
          <w:sz w:val="21"/>
          <w:szCs w:val="21"/>
          <w14:ligatures w14:val="none"/>
        </w:rPr>
        <w:t>Eliminate School Lunch Co-Pay for Low-Income Students</w:t>
      </w:r>
      <w:r w:rsidR="00D20D79">
        <w:rPr>
          <w:b/>
          <w:bCs/>
          <w:color w:val="C00000"/>
          <w:sz w:val="21"/>
          <w:szCs w:val="21"/>
          <w14:ligatures w14:val="none"/>
        </w:rPr>
        <w:t xml:space="preserve"> [HB 1892]</w:t>
      </w:r>
      <w:r w:rsidR="0031565C" w:rsidRPr="006D11AD">
        <w:rPr>
          <w:b/>
          <w:bCs/>
          <w:color w:val="6F9AD3"/>
          <w:sz w:val="21"/>
          <w:szCs w:val="21"/>
          <w14:ligatures w14:val="none"/>
        </w:rPr>
        <w:t xml:space="preserve"> - </w:t>
      </w:r>
      <w:r w:rsidRPr="006D11AD">
        <w:rPr>
          <w:sz w:val="21"/>
          <w:szCs w:val="21"/>
          <w14:ligatures w14:val="none"/>
        </w:rPr>
        <w:t xml:space="preserve">Kids do better in school when they don’t have to worry about affording meals. Some families struggle even to pay the cost of a reduced-price lunch. By eliminating the co-pay for all students (Pre-K to Grade 12) and increasing the number of schools using Community Eligibility (more students receive </w:t>
      </w:r>
      <w:r w:rsidRPr="006D11AD">
        <w:rPr>
          <w:sz w:val="21"/>
          <w:szCs w:val="21"/>
          <w14:ligatures w14:val="none"/>
        </w:rPr>
        <w:lastRenderedPageBreak/>
        <w:t xml:space="preserve">free meals), low-income kids can focus on learning, instead of being hungry. </w:t>
      </w:r>
      <w:r w:rsidRPr="006D11AD">
        <w:rPr>
          <w:i/>
          <w:iCs/>
          <w:sz w:val="21"/>
          <w:szCs w:val="21"/>
          <w14:ligatures w14:val="none"/>
        </w:rPr>
        <w:t xml:space="preserve">Lead agency: </w:t>
      </w:r>
      <w:r w:rsidRPr="006D11AD">
        <w:rPr>
          <w:sz w:val="21"/>
          <w:szCs w:val="21"/>
          <w14:ligatures w14:val="none"/>
        </w:rPr>
        <w:t xml:space="preserve">Bethel School District; </w:t>
      </w:r>
      <w:r w:rsidRPr="006D11AD">
        <w:rPr>
          <w:i/>
          <w:iCs/>
          <w:sz w:val="21"/>
          <w:szCs w:val="21"/>
          <w14:ligatures w14:val="none"/>
        </w:rPr>
        <w:t xml:space="preserve">Supporting agency: </w:t>
      </w:r>
      <w:r w:rsidR="0031565C" w:rsidRPr="006D11AD">
        <w:rPr>
          <w:sz w:val="21"/>
          <w:szCs w:val="21"/>
          <w14:ligatures w14:val="none"/>
        </w:rPr>
        <w:t>United Way.</w:t>
      </w:r>
    </w:p>
    <w:p w:rsidR="0031565C" w:rsidRPr="006D11AD" w:rsidRDefault="0031565C" w:rsidP="00AA18BB">
      <w:pPr>
        <w:pStyle w:val="NoSpacing"/>
        <w:spacing w:after="160"/>
        <w:jc w:val="center"/>
        <w:rPr>
          <w:b/>
          <w:bCs/>
          <w:color w:val="002060"/>
          <w:sz w:val="21"/>
          <w:szCs w:val="21"/>
        </w:rPr>
      </w:pPr>
      <w:r w:rsidRPr="006D11AD">
        <w:rPr>
          <w:b/>
          <w:bCs/>
          <w:color w:val="002060"/>
          <w:sz w:val="21"/>
          <w:szCs w:val="21"/>
        </w:rPr>
        <w:t>TIER 2 PRIORITIES</w:t>
      </w:r>
    </w:p>
    <w:p w:rsidR="00BF2607" w:rsidRPr="006D11AD" w:rsidRDefault="00BF2607" w:rsidP="00AA18BB">
      <w:pPr>
        <w:pStyle w:val="NoSpacing"/>
        <w:spacing w:after="120"/>
        <w:jc w:val="both"/>
        <w:rPr>
          <w:sz w:val="21"/>
          <w:szCs w:val="21"/>
          <w14:ligatures w14:val="none"/>
        </w:rPr>
      </w:pPr>
      <w:r w:rsidRPr="006D11AD">
        <w:rPr>
          <w:b/>
          <w:bCs/>
          <w:color w:val="C00000"/>
          <w:sz w:val="21"/>
          <w:szCs w:val="21"/>
          <w14:ligatures w14:val="none"/>
        </w:rPr>
        <w:t>Housing Trust Fund</w:t>
      </w:r>
      <w:r w:rsidR="0031565C" w:rsidRPr="006D11AD">
        <w:rPr>
          <w:color w:val="auto"/>
          <w:sz w:val="21"/>
          <w:szCs w:val="21"/>
          <w14:ligatures w14:val="none"/>
        </w:rPr>
        <w:t xml:space="preserve"> - </w:t>
      </w:r>
      <w:r w:rsidRPr="006D11AD">
        <w:rPr>
          <w:color w:val="auto"/>
          <w:sz w:val="21"/>
          <w:szCs w:val="21"/>
          <w14:ligatures w14:val="none"/>
        </w:rPr>
        <w:t>This</w:t>
      </w:r>
      <w:r w:rsidRPr="006D11AD">
        <w:rPr>
          <w:sz w:val="21"/>
          <w:szCs w:val="21"/>
          <w14:ligatures w14:val="none"/>
        </w:rPr>
        <w:t xml:space="preserve"> fund invests in affordable homes across Washington, b</w:t>
      </w:r>
      <w:r w:rsidR="0031565C" w:rsidRPr="006D11AD">
        <w:rPr>
          <w:sz w:val="21"/>
          <w:szCs w:val="21"/>
          <w14:ligatures w14:val="none"/>
        </w:rPr>
        <w:t xml:space="preserve">ut in recent years it has been </w:t>
      </w:r>
      <w:r w:rsidRPr="006D11AD">
        <w:rPr>
          <w:sz w:val="21"/>
          <w:szCs w:val="21"/>
          <w14:ligatures w14:val="none"/>
        </w:rPr>
        <w:t>considerably underfunded. Funds were approved in the biennium budget and the ask is to provide $10M supplement to the State’s Housing Trust Fund.</w:t>
      </w:r>
    </w:p>
    <w:p w:rsidR="00BF2607" w:rsidRPr="006D11AD" w:rsidRDefault="00BF2607" w:rsidP="00AA18BB">
      <w:pPr>
        <w:pStyle w:val="NoSpacing"/>
        <w:spacing w:after="120"/>
        <w:jc w:val="both"/>
        <w:rPr>
          <w:sz w:val="21"/>
          <w:szCs w:val="21"/>
          <w14:ligatures w14:val="none"/>
        </w:rPr>
      </w:pPr>
      <w:bookmarkStart w:id="0" w:name="_GoBack"/>
      <w:bookmarkEnd w:id="0"/>
      <w:r w:rsidRPr="006D11AD">
        <w:rPr>
          <w:b/>
          <w:bCs/>
          <w:color w:val="C00000"/>
          <w:sz w:val="21"/>
          <w:szCs w:val="21"/>
          <w14:ligatures w14:val="none"/>
        </w:rPr>
        <w:t>Prevent evictions</w:t>
      </w:r>
      <w:r w:rsidR="00465DF5">
        <w:rPr>
          <w:b/>
          <w:bCs/>
          <w:sz w:val="21"/>
          <w:szCs w:val="21"/>
          <w14:ligatures w14:val="none"/>
        </w:rPr>
        <w:t xml:space="preserve"> - </w:t>
      </w:r>
      <w:r w:rsidRPr="006D11AD">
        <w:rPr>
          <w:sz w:val="21"/>
          <w:szCs w:val="21"/>
          <w14:ligatures w14:val="none"/>
        </w:rPr>
        <w:t>Make landlord / tenant laws more specific to provide tenants and landlords clarity about what is allowable.</w:t>
      </w:r>
    </w:p>
    <w:p w:rsidR="00BF2607" w:rsidRPr="006D11AD" w:rsidRDefault="00BF2607" w:rsidP="00AA18BB">
      <w:pPr>
        <w:pStyle w:val="NoSpacing"/>
        <w:spacing w:after="120"/>
        <w:jc w:val="both"/>
        <w:rPr>
          <w:sz w:val="21"/>
          <w:szCs w:val="21"/>
          <w14:ligatures w14:val="none"/>
        </w:rPr>
      </w:pPr>
      <w:r w:rsidRPr="006D11AD">
        <w:rPr>
          <w:b/>
          <w:bCs/>
          <w:color w:val="C00000"/>
          <w:sz w:val="21"/>
          <w:szCs w:val="21"/>
          <w14:ligatures w14:val="none"/>
        </w:rPr>
        <w:t>Provide ongoing Housing and Essential Needs (HEN)</w:t>
      </w:r>
      <w:r w:rsidR="00465DF5">
        <w:rPr>
          <w:bCs/>
          <w:color w:val="auto"/>
          <w:sz w:val="21"/>
          <w:szCs w:val="21"/>
          <w14:ligatures w14:val="none"/>
        </w:rPr>
        <w:t xml:space="preserve"> - </w:t>
      </w:r>
      <w:r w:rsidRPr="006D11AD">
        <w:rPr>
          <w:sz w:val="21"/>
          <w:szCs w:val="21"/>
          <w14:ligatures w14:val="none"/>
        </w:rPr>
        <w:t>rent subsidies to Pierce County residents who obtain SSI/SSDI and, as a result, are required to give up HENS vouchers worth more than the SSI/SSDI monthly check.</w:t>
      </w:r>
    </w:p>
    <w:sectPr w:rsidR="00BF2607" w:rsidRPr="006D11AD" w:rsidSect="009A605C">
      <w:headerReference w:type="first" r:id="rId8"/>
      <w:pgSz w:w="12240" w:h="15840"/>
      <w:pgMar w:top="576" w:right="864" w:bottom="245"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1EA" w:rsidRDefault="006271EA" w:rsidP="00FC1055">
      <w:pPr>
        <w:spacing w:after="0" w:line="240" w:lineRule="auto"/>
      </w:pPr>
      <w:r>
        <w:separator/>
      </w:r>
    </w:p>
  </w:endnote>
  <w:endnote w:type="continuationSeparator" w:id="0">
    <w:p w:rsidR="006271EA" w:rsidRDefault="006271EA" w:rsidP="00FC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1EA" w:rsidRDefault="006271EA" w:rsidP="00FC1055">
      <w:pPr>
        <w:spacing w:after="0" w:line="240" w:lineRule="auto"/>
      </w:pPr>
      <w:r>
        <w:separator/>
      </w:r>
    </w:p>
  </w:footnote>
  <w:footnote w:type="continuationSeparator" w:id="0">
    <w:p w:rsidR="006271EA" w:rsidRDefault="006271EA" w:rsidP="00FC1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Pr="007C2CC6" w:rsidRDefault="00762782" w:rsidP="005D755E">
    <w:pPr>
      <w:pStyle w:val="NoSpacing"/>
      <w:rPr>
        <w:b/>
        <w:color w:val="002060"/>
        <w:sz w:val="28"/>
        <w:szCs w:val="28"/>
      </w:rPr>
    </w:pPr>
    <w:r w:rsidRPr="007C2CC6">
      <w:rPr>
        <w:rFonts w:ascii="Times New Roman" w:hAnsi="Times New Roman" w:cs="Times New Roman"/>
        <w:noProof/>
        <w:color w:val="1F4E79" w:themeColor="accent1" w:themeShade="80"/>
        <w:kern w:val="0"/>
        <w:sz w:val="28"/>
        <w:szCs w:val="28"/>
        <w14:ligatures w14:val="none"/>
        <w14:cntxtAlts w14:val="0"/>
      </w:rPr>
      <w:drawing>
        <wp:anchor distT="36576" distB="36576" distL="36576" distR="36576" simplePos="0" relativeHeight="251659264" behindDoc="0" locked="0" layoutInCell="1" allowOverlap="1" wp14:anchorId="67E2972D" wp14:editId="7ACE8085">
          <wp:simplePos x="0" y="0"/>
          <wp:positionH relativeFrom="margin">
            <wp:posOffset>5743575</wp:posOffset>
          </wp:positionH>
          <wp:positionV relativeFrom="paragraph">
            <wp:posOffset>-267970</wp:posOffset>
          </wp:positionV>
          <wp:extent cx="1125220" cy="657063"/>
          <wp:effectExtent l="0" t="0" r="0" b="0"/>
          <wp:wrapNone/>
          <wp:docPr id="4" name="Picture 4" descr="UWPCLogo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PCLogo pl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220" cy="65706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D755E">
      <w:rPr>
        <w:b/>
        <w:color w:val="002060"/>
        <w:sz w:val="28"/>
        <w:szCs w:val="28"/>
      </w:rPr>
      <w:t xml:space="preserve">                                                 </w:t>
    </w:r>
    <w:r w:rsidR="00AF70A5">
      <w:rPr>
        <w:b/>
        <w:color w:val="002060"/>
        <w:sz w:val="28"/>
        <w:szCs w:val="28"/>
      </w:rPr>
      <w:t xml:space="preserve">   </w:t>
    </w:r>
    <w:r w:rsidR="00BF2607" w:rsidRPr="007C2CC6">
      <w:rPr>
        <w:b/>
        <w:color w:val="002060"/>
        <w:sz w:val="28"/>
        <w:szCs w:val="28"/>
      </w:rPr>
      <w:t>STATE POLICY AGENDA 2020</w:t>
    </w:r>
  </w:p>
  <w:p w:rsidR="005D755E" w:rsidRPr="009A605C" w:rsidRDefault="005D755E" w:rsidP="005D755E">
    <w:pPr>
      <w:pStyle w:val="NoSpacing"/>
    </w:pPr>
    <w:r>
      <w:rPr>
        <w:rFonts w:asciiTheme="minorHAnsi" w:hAnsiTheme="minorHAnsi" w:cstheme="minorHAnsi"/>
        <w:b/>
        <w:bCs/>
        <w:color w:val="002060"/>
        <w:sz w:val="28"/>
        <w:szCs w:val="28"/>
        <w14:ligatures w14:val="none"/>
      </w:rPr>
      <w:t xml:space="preserve">                           </w:t>
    </w:r>
    <w:r w:rsidR="00BF2607" w:rsidRPr="007C2CC6">
      <w:rPr>
        <w:rFonts w:asciiTheme="minorHAnsi" w:hAnsiTheme="minorHAnsi" w:cstheme="minorHAnsi"/>
        <w:b/>
        <w:bCs/>
        <w:color w:val="002060"/>
        <w:sz w:val="28"/>
        <w:szCs w:val="28"/>
        <w14:ligatures w14:val="none"/>
      </w:rPr>
      <w:t>UNITED WAY OF PIERCE COUNTY: TIER 1 &amp; 2 PRIORITIES</w:t>
    </w:r>
    <w:r>
      <w:rPr>
        <w:rFonts w:asciiTheme="minorHAnsi" w:hAnsiTheme="minorHAnsi" w:cstheme="minorHAnsi"/>
        <w:b/>
        <w:bCs/>
        <w:color w:val="002060"/>
        <w:sz w:val="28"/>
        <w:szCs w:val="28"/>
        <w14:ligatures w14:val="none"/>
      </w:rPr>
      <w:br/>
    </w:r>
    <w:r w:rsidRPr="005D755E">
      <w:rPr>
        <w:rFonts w:asciiTheme="minorHAnsi" w:hAnsiTheme="minorHAnsi" w:cstheme="minorHAnsi"/>
        <w:b/>
        <w:bCs/>
        <w:color w:val="C00000"/>
        <w14:ligatures w14:val="none"/>
      </w:rPr>
      <w:t xml:space="preserve">                                                             </w:t>
    </w:r>
    <w:hyperlink r:id="rId2" w:history="1">
      <w:r w:rsidRPr="005D755E">
        <w:rPr>
          <w:rStyle w:val="Hyperlink"/>
          <w:rFonts w:asciiTheme="minorHAnsi" w:hAnsiTheme="minorHAnsi" w:cstheme="minorHAnsi"/>
          <w:b/>
          <w:bCs/>
          <w:color w:val="C00000"/>
          <w14:ligatures w14:val="none"/>
        </w:rPr>
        <w:t>www.uwpc.org/advocate</w:t>
      </w:r>
    </w:hyperlink>
    <w:r w:rsidRPr="005D755E">
      <w:rPr>
        <w:rFonts w:asciiTheme="minorHAnsi" w:hAnsiTheme="minorHAnsi" w:cstheme="minorHAnsi"/>
        <w:b/>
        <w:bCs/>
        <w:color w:val="C00000"/>
        <w14:ligatures w14:val="none"/>
      </w:rPr>
      <w:t xml:space="preserve"> </w:t>
    </w:r>
    <w:r w:rsidRPr="005D755E">
      <w:rPr>
        <w:b/>
        <w:color w:val="C00000"/>
      </w:rPr>
      <w:t xml:space="preserve"> or email </w:t>
    </w:r>
    <w:hyperlink r:id="rId3" w:history="1">
      <w:r w:rsidRPr="005D755E">
        <w:rPr>
          <w:rStyle w:val="Hyperlink"/>
          <w:b/>
          <w:color w:val="C00000"/>
        </w:rPr>
        <w:t>norinday@uwpc.org</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66D8"/>
    <w:multiLevelType w:val="hybridMultilevel"/>
    <w:tmpl w:val="649E7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0A0D"/>
    <w:multiLevelType w:val="hybridMultilevel"/>
    <w:tmpl w:val="A796A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55"/>
    <w:rsid w:val="000403B5"/>
    <w:rsid w:val="000E686D"/>
    <w:rsid w:val="0025328C"/>
    <w:rsid w:val="0031565C"/>
    <w:rsid w:val="00367040"/>
    <w:rsid w:val="003A76D9"/>
    <w:rsid w:val="003B2A45"/>
    <w:rsid w:val="003D115A"/>
    <w:rsid w:val="00465DF5"/>
    <w:rsid w:val="00523265"/>
    <w:rsid w:val="005B3FF0"/>
    <w:rsid w:val="005D755E"/>
    <w:rsid w:val="006271EA"/>
    <w:rsid w:val="006A1094"/>
    <w:rsid w:val="006D09A5"/>
    <w:rsid w:val="006D11AD"/>
    <w:rsid w:val="00762782"/>
    <w:rsid w:val="007C2CC6"/>
    <w:rsid w:val="00806B19"/>
    <w:rsid w:val="008D2948"/>
    <w:rsid w:val="009A605C"/>
    <w:rsid w:val="009E2799"/>
    <w:rsid w:val="00A07D88"/>
    <w:rsid w:val="00A93B50"/>
    <w:rsid w:val="00AA18BB"/>
    <w:rsid w:val="00AA2935"/>
    <w:rsid w:val="00AC7429"/>
    <w:rsid w:val="00AD56FB"/>
    <w:rsid w:val="00AF70A5"/>
    <w:rsid w:val="00BF2607"/>
    <w:rsid w:val="00BF3865"/>
    <w:rsid w:val="00C33245"/>
    <w:rsid w:val="00CA3024"/>
    <w:rsid w:val="00D20D79"/>
    <w:rsid w:val="00D24583"/>
    <w:rsid w:val="00D61FAF"/>
    <w:rsid w:val="00E94A9E"/>
    <w:rsid w:val="00FC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6FCAF91-576E-445D-AF7D-A73A3606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055"/>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055"/>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FC1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055"/>
    <w:rPr>
      <w:rFonts w:ascii="Calibri" w:eastAsia="Times New Roman" w:hAnsi="Calibri" w:cs="Calibri"/>
      <w:color w:val="000000"/>
      <w:kern w:val="28"/>
      <w:sz w:val="20"/>
      <w:szCs w:val="20"/>
      <w14:ligatures w14:val="standard"/>
      <w14:cntxtAlts/>
    </w:rPr>
  </w:style>
  <w:style w:type="paragraph" w:styleId="NoSpacing">
    <w:name w:val="No Spacing"/>
    <w:uiPriority w:val="1"/>
    <w:qFormat/>
    <w:rsid w:val="00FC1055"/>
    <w:pPr>
      <w:spacing w:after="0" w:line="240" w:lineRule="auto"/>
    </w:pPr>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AA1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8BB"/>
    <w:rPr>
      <w:rFonts w:ascii="Segoe UI" w:eastAsia="Times New Roman" w:hAnsi="Segoe UI" w:cs="Segoe UI"/>
      <w:color w:val="000000"/>
      <w:kern w:val="28"/>
      <w:sz w:val="18"/>
      <w:szCs w:val="18"/>
      <w14:ligatures w14:val="standard"/>
      <w14:cntxtAlts/>
    </w:rPr>
  </w:style>
  <w:style w:type="character" w:styleId="Hyperlink">
    <w:name w:val="Hyperlink"/>
    <w:basedOn w:val="DefaultParagraphFont"/>
    <w:uiPriority w:val="99"/>
    <w:unhideWhenUsed/>
    <w:rsid w:val="009A605C"/>
    <w:rPr>
      <w:color w:val="085296"/>
      <w:u w:val="single"/>
    </w:rPr>
  </w:style>
  <w:style w:type="character" w:styleId="FollowedHyperlink">
    <w:name w:val="FollowedHyperlink"/>
    <w:basedOn w:val="DefaultParagraphFont"/>
    <w:uiPriority w:val="99"/>
    <w:semiHidden/>
    <w:unhideWhenUsed/>
    <w:rsid w:val="009A6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87050">
      <w:bodyDiv w:val="1"/>
      <w:marLeft w:val="0"/>
      <w:marRight w:val="0"/>
      <w:marTop w:val="0"/>
      <w:marBottom w:val="0"/>
      <w:divBdr>
        <w:top w:val="none" w:sz="0" w:space="0" w:color="auto"/>
        <w:left w:val="none" w:sz="0" w:space="0" w:color="auto"/>
        <w:bottom w:val="none" w:sz="0" w:space="0" w:color="auto"/>
        <w:right w:val="none" w:sz="0" w:space="0" w:color="auto"/>
      </w:divBdr>
    </w:div>
    <w:div w:id="334503620">
      <w:bodyDiv w:val="1"/>
      <w:marLeft w:val="0"/>
      <w:marRight w:val="0"/>
      <w:marTop w:val="0"/>
      <w:marBottom w:val="0"/>
      <w:divBdr>
        <w:top w:val="none" w:sz="0" w:space="0" w:color="auto"/>
        <w:left w:val="none" w:sz="0" w:space="0" w:color="auto"/>
        <w:bottom w:val="none" w:sz="0" w:space="0" w:color="auto"/>
        <w:right w:val="none" w:sz="0" w:space="0" w:color="auto"/>
      </w:divBdr>
    </w:div>
    <w:div w:id="670832730">
      <w:bodyDiv w:val="1"/>
      <w:marLeft w:val="0"/>
      <w:marRight w:val="0"/>
      <w:marTop w:val="0"/>
      <w:marBottom w:val="0"/>
      <w:divBdr>
        <w:top w:val="none" w:sz="0" w:space="0" w:color="auto"/>
        <w:left w:val="none" w:sz="0" w:space="0" w:color="auto"/>
        <w:bottom w:val="none" w:sz="0" w:space="0" w:color="auto"/>
        <w:right w:val="none" w:sz="0" w:space="0" w:color="auto"/>
      </w:divBdr>
    </w:div>
    <w:div w:id="965239512">
      <w:bodyDiv w:val="1"/>
      <w:marLeft w:val="0"/>
      <w:marRight w:val="0"/>
      <w:marTop w:val="0"/>
      <w:marBottom w:val="0"/>
      <w:divBdr>
        <w:top w:val="none" w:sz="0" w:space="0" w:color="auto"/>
        <w:left w:val="none" w:sz="0" w:space="0" w:color="auto"/>
        <w:bottom w:val="none" w:sz="0" w:space="0" w:color="auto"/>
        <w:right w:val="none" w:sz="0" w:space="0" w:color="auto"/>
      </w:divBdr>
    </w:div>
    <w:div w:id="1040059694">
      <w:bodyDiv w:val="1"/>
      <w:marLeft w:val="0"/>
      <w:marRight w:val="0"/>
      <w:marTop w:val="0"/>
      <w:marBottom w:val="0"/>
      <w:divBdr>
        <w:top w:val="none" w:sz="0" w:space="0" w:color="auto"/>
        <w:left w:val="none" w:sz="0" w:space="0" w:color="auto"/>
        <w:bottom w:val="none" w:sz="0" w:space="0" w:color="auto"/>
        <w:right w:val="none" w:sz="0" w:space="0" w:color="auto"/>
      </w:divBdr>
    </w:div>
    <w:div w:id="1150950352">
      <w:bodyDiv w:val="1"/>
      <w:marLeft w:val="0"/>
      <w:marRight w:val="0"/>
      <w:marTop w:val="0"/>
      <w:marBottom w:val="0"/>
      <w:divBdr>
        <w:top w:val="none" w:sz="0" w:space="0" w:color="auto"/>
        <w:left w:val="none" w:sz="0" w:space="0" w:color="auto"/>
        <w:bottom w:val="none" w:sz="0" w:space="0" w:color="auto"/>
        <w:right w:val="none" w:sz="0" w:space="0" w:color="auto"/>
      </w:divBdr>
    </w:div>
    <w:div w:id="1344092712">
      <w:bodyDiv w:val="1"/>
      <w:marLeft w:val="0"/>
      <w:marRight w:val="0"/>
      <w:marTop w:val="0"/>
      <w:marBottom w:val="0"/>
      <w:divBdr>
        <w:top w:val="none" w:sz="0" w:space="0" w:color="auto"/>
        <w:left w:val="none" w:sz="0" w:space="0" w:color="auto"/>
        <w:bottom w:val="none" w:sz="0" w:space="0" w:color="auto"/>
        <w:right w:val="none" w:sz="0" w:space="0" w:color="auto"/>
      </w:divBdr>
    </w:div>
    <w:div w:id="1389644816">
      <w:bodyDiv w:val="1"/>
      <w:marLeft w:val="0"/>
      <w:marRight w:val="0"/>
      <w:marTop w:val="0"/>
      <w:marBottom w:val="0"/>
      <w:divBdr>
        <w:top w:val="none" w:sz="0" w:space="0" w:color="auto"/>
        <w:left w:val="none" w:sz="0" w:space="0" w:color="auto"/>
        <w:bottom w:val="none" w:sz="0" w:space="0" w:color="auto"/>
        <w:right w:val="none" w:sz="0" w:space="0" w:color="auto"/>
      </w:divBdr>
    </w:div>
    <w:div w:id="1683126230">
      <w:bodyDiv w:val="1"/>
      <w:marLeft w:val="0"/>
      <w:marRight w:val="0"/>
      <w:marTop w:val="0"/>
      <w:marBottom w:val="0"/>
      <w:divBdr>
        <w:top w:val="none" w:sz="0" w:space="0" w:color="auto"/>
        <w:left w:val="none" w:sz="0" w:space="0" w:color="auto"/>
        <w:bottom w:val="none" w:sz="0" w:space="0" w:color="auto"/>
        <w:right w:val="none" w:sz="0" w:space="0" w:color="auto"/>
      </w:divBdr>
    </w:div>
    <w:div w:id="1988901721">
      <w:bodyDiv w:val="1"/>
      <w:marLeft w:val="0"/>
      <w:marRight w:val="0"/>
      <w:marTop w:val="0"/>
      <w:marBottom w:val="0"/>
      <w:divBdr>
        <w:top w:val="none" w:sz="0" w:space="0" w:color="auto"/>
        <w:left w:val="none" w:sz="0" w:space="0" w:color="auto"/>
        <w:bottom w:val="none" w:sz="0" w:space="0" w:color="auto"/>
        <w:right w:val="none" w:sz="0" w:space="0" w:color="auto"/>
      </w:divBdr>
    </w:div>
    <w:div w:id="2118065570">
      <w:bodyDiv w:val="1"/>
      <w:marLeft w:val="0"/>
      <w:marRight w:val="0"/>
      <w:marTop w:val="0"/>
      <w:marBottom w:val="0"/>
      <w:divBdr>
        <w:top w:val="none" w:sz="0" w:space="0" w:color="auto"/>
        <w:left w:val="none" w:sz="0" w:space="0" w:color="auto"/>
        <w:bottom w:val="none" w:sz="0" w:space="0" w:color="auto"/>
        <w:right w:val="none" w:sz="0" w:space="0" w:color="auto"/>
      </w:divBdr>
    </w:div>
    <w:div w:id="21436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orinday@uwpc.org" TargetMode="External"/><Relationship Id="rId2" Type="http://schemas.openxmlformats.org/officeDocument/2006/relationships/hyperlink" Target="http://www.uwpc.org/advocat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CFC65-21BF-4F7B-9EC9-4CB1FF38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Way of Pierce County</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Hansen</dc:creator>
  <cp:keywords/>
  <dc:description/>
  <cp:lastModifiedBy>Norinda Rosario Yancey</cp:lastModifiedBy>
  <cp:revision>3</cp:revision>
  <cp:lastPrinted>2020-02-10T23:53:00Z</cp:lastPrinted>
  <dcterms:created xsi:type="dcterms:W3CDTF">2020-02-12T20:05:00Z</dcterms:created>
  <dcterms:modified xsi:type="dcterms:W3CDTF">2020-02-14T19:23:00Z</dcterms:modified>
</cp:coreProperties>
</file>