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59DDD" w14:textId="77777777" w:rsidR="004E28DA" w:rsidRDefault="00000000">
      <w:pPr>
        <w:spacing w:after="60"/>
      </w:pPr>
      <w:r>
        <w:rPr>
          <w:rFonts w:ascii="Arial" w:eastAsia="Arial" w:hAnsi="Arial" w:cs="Arial"/>
          <w:b/>
          <w:bCs/>
          <w:color w:val="000000"/>
          <w:sz w:val="30"/>
          <w:szCs w:val="30"/>
        </w:rPr>
        <w:t>Desarrollando la resiliencia en Tacoma ( GRIT) — Preguntas frecuentes del programa</w:t>
      </w:r>
    </w:p>
    <w:p w14:paraId="69F61DF8" w14:textId="77777777" w:rsidR="004E28DA" w:rsidRDefault="00000000">
      <w:pPr>
        <w:pBdr>
          <w:bottom w:val="single" w:sz="6" w:space="6" w:color="000000"/>
        </w:pBdr>
        <w:spacing w:after="240"/>
      </w:pPr>
      <w:r>
        <w:rPr>
          <w:rFonts w:ascii="Arial" w:eastAsia="Arial" w:hAnsi="Arial" w:cs="Arial"/>
          <w:i/>
          <w:iCs/>
          <w:color w:val="000000"/>
          <w:sz w:val="22"/>
          <w:szCs w:val="22"/>
        </w:rPr>
        <w:t>Un programa piloto de renta garantizada en el condado de Pierce.</w:t>
      </w:r>
    </w:p>
    <w:p w14:paraId="21E8A882" w14:textId="5A59F7CC" w:rsidR="004E28DA" w:rsidRDefault="00000000">
      <w:pPr>
        <w:spacing w:before="300" w:after="110"/>
      </w:pPr>
      <w:r>
        <w:rPr>
          <w:rFonts w:ascii="Arial" w:eastAsia="Arial" w:hAnsi="Arial" w:cs="Arial"/>
          <w:b/>
          <w:bCs/>
          <w:color w:val="000000"/>
          <w:sz w:val="23"/>
          <w:szCs w:val="23"/>
        </w:rPr>
        <w:t xml:space="preserve">¿Qué es la </w:t>
      </w:r>
      <w:r w:rsidR="004A1E45">
        <w:rPr>
          <w:rFonts w:ascii="Arial" w:eastAsia="Arial" w:hAnsi="Arial" w:cs="Arial"/>
          <w:b/>
          <w:bCs/>
          <w:color w:val="000000"/>
          <w:sz w:val="23"/>
          <w:szCs w:val="23"/>
        </w:rPr>
        <w:t>GRIT 3.0</w:t>
      </w:r>
      <w:r>
        <w:rPr>
          <w:rFonts w:ascii="Arial" w:eastAsia="Arial" w:hAnsi="Arial" w:cs="Arial"/>
          <w:b/>
          <w:bCs/>
          <w:color w:val="000000"/>
          <w:sz w:val="23"/>
          <w:szCs w:val="23"/>
        </w:rPr>
        <w:t>?</w:t>
      </w:r>
    </w:p>
    <w:p w14:paraId="75954EE7" w14:textId="77777777" w:rsidR="004E28DA" w:rsidRDefault="00000000">
      <w:pPr>
        <w:spacing w:after="160" w:line="272" w:lineRule="auto"/>
      </w:pPr>
      <w:r>
        <w:rPr>
          <w:rFonts w:ascii="Arial" w:eastAsia="Arial" w:hAnsi="Arial" w:cs="Arial"/>
          <w:color w:val="000000"/>
          <w:sz w:val="22"/>
          <w:szCs w:val="22"/>
        </w:rPr>
        <w:t>El programa Growing Resilience in Tacoma (GRIT) es una iniciativa piloto de renta básica garantizada en el condado de Pierce, que actualmente se encuentra en su tercera fase. El programa evalúa si un pago mensual en efectivo, sin restricciones, puede ayudar a las familias de bajos ingresos a alcanzar la estabilidad, y utiliza los resultados para fundamentar las políticas locales, estatales y federales.</w:t>
      </w:r>
    </w:p>
    <w:p w14:paraId="7C00DF49" w14:textId="77777777" w:rsidR="004E28DA" w:rsidRDefault="00000000">
      <w:pPr>
        <w:spacing w:after="160" w:line="272" w:lineRule="auto"/>
      </w:pPr>
      <w:r>
        <w:rPr>
          <w:rFonts w:ascii="Arial" w:eastAsia="Arial" w:hAnsi="Arial" w:cs="Arial"/>
          <w:color w:val="000000"/>
          <w:sz w:val="22"/>
          <w:szCs w:val="22"/>
        </w:rPr>
        <w:t>El primer programa piloto de GRIT, en 2022, proporcionó 500 dólares al mes a 110 familias ALICE de Tacoma, en colaboración con Mayors for a Guaranteed Income, la ciudad de Tacoma y United Way Pierce County.</w:t>
      </w:r>
    </w:p>
    <w:p w14:paraId="4882FEF6" w14:textId="77777777" w:rsidR="004E28DA" w:rsidRDefault="00000000">
      <w:pPr>
        <w:spacing w:after="160" w:line="272" w:lineRule="auto"/>
      </w:pPr>
      <w:r>
        <w:rPr>
          <w:rFonts w:ascii="Arial" w:eastAsia="Arial" w:hAnsi="Arial" w:cs="Arial"/>
          <w:color w:val="000000"/>
          <w:sz w:val="22"/>
          <w:szCs w:val="22"/>
        </w:rPr>
        <w:t>GRIT 2.0 se desarrolló desde abril de 2024 hasta marzo de 2025, en colaboración con la Administración de Servicios Económicos del Estado de Washington, la ciudad de Tacoma, el condado de Pierce y United Way del condado de Pierce. Proporcionó 500 dólares al mes durante 12 meses a 175 familias ALICE (familias con recursos limitados, ingresos restringidos y empleo), en una cantidad que no estaba condicionada ni restringida.</w:t>
      </w:r>
    </w:p>
    <w:p w14:paraId="647BFE8E" w14:textId="77777777" w:rsidR="004E28DA" w:rsidRDefault="00000000">
      <w:pPr>
        <w:spacing w:after="160" w:line="272" w:lineRule="auto"/>
      </w:pPr>
      <w:r>
        <w:rPr>
          <w:rFonts w:ascii="Arial" w:eastAsia="Arial" w:hAnsi="Arial" w:cs="Arial"/>
          <w:color w:val="000000"/>
          <w:sz w:val="22"/>
          <w:szCs w:val="22"/>
        </w:rPr>
        <w:t>GRIT 3.0 es la ronda más reciente. Es administrada por United Way Pierce County en colaboración con la Fundación Martin-Fabert, y funciona a través de la red del Center for Strong Families para proporcionar 500 dólares al mes durante 12 meses a 25 hogares monoparentales que son clientes actuales del Center for Strong Families.</w:t>
      </w:r>
    </w:p>
    <w:p w14:paraId="03E1699A" w14:textId="77777777" w:rsidR="004E28DA" w:rsidRDefault="00000000">
      <w:pPr>
        <w:spacing w:before="300" w:after="110"/>
      </w:pPr>
      <w:r>
        <w:rPr>
          <w:rFonts w:ascii="Arial" w:eastAsia="Arial" w:hAnsi="Arial" w:cs="Arial"/>
          <w:b/>
          <w:bCs/>
          <w:color w:val="000000"/>
          <w:sz w:val="23"/>
          <w:szCs w:val="23"/>
        </w:rPr>
        <w:t>¿Cuál es la idea detrás de un ingreso garantizado?</w:t>
      </w:r>
    </w:p>
    <w:p w14:paraId="799CEE84" w14:textId="77777777" w:rsidR="004E28DA" w:rsidRDefault="00000000">
      <w:pPr>
        <w:spacing w:after="160" w:line="272" w:lineRule="auto"/>
      </w:pPr>
      <w:r>
        <w:rPr>
          <w:rFonts w:ascii="Arial" w:eastAsia="Arial" w:hAnsi="Arial" w:cs="Arial"/>
          <w:color w:val="000000"/>
          <w:sz w:val="22"/>
          <w:szCs w:val="22"/>
        </w:rPr>
        <w:t>La renta básica garantizada es una forma probada de abordar las fuerzas que limitan la movilidad económica: la pobreza arraigada, los efectos duraderos de las crisis económicas como la pandemia de COVID-19 y la creciente concentración de la riqueza en la cima.</w:t>
      </w:r>
    </w:p>
    <w:p w14:paraId="1477394A" w14:textId="77777777" w:rsidR="004E28DA" w:rsidRDefault="00000000">
      <w:pPr>
        <w:spacing w:before="300" w:after="110"/>
      </w:pPr>
      <w:r>
        <w:rPr>
          <w:rFonts w:ascii="Arial" w:eastAsia="Arial" w:hAnsi="Arial" w:cs="Arial"/>
          <w:b/>
          <w:bCs/>
          <w:color w:val="000000"/>
          <w:sz w:val="23"/>
          <w:szCs w:val="23"/>
        </w:rPr>
        <w:t>¿Por qué debería probarse un ingreso garantizado?</w:t>
      </w:r>
    </w:p>
    <w:p w14:paraId="3CDD7EC2" w14:textId="77777777" w:rsidR="004E28DA" w:rsidRDefault="00000000">
      <w:pPr>
        <w:spacing w:after="160" w:line="272" w:lineRule="auto"/>
      </w:pPr>
      <w:r>
        <w:rPr>
          <w:rFonts w:ascii="Arial" w:eastAsia="Arial" w:hAnsi="Arial" w:cs="Arial"/>
          <w:color w:val="000000"/>
          <w:sz w:val="22"/>
          <w:szCs w:val="22"/>
        </w:rPr>
        <w:t>Muchas familias trabajadoras no pueden costear lo básico en sus lugares de residencia. En Tacoma y el condado de Pierce, el costo anual de atención médica, servicios públicos, transporte y otros gastos esenciales supera los $50,000 para un adulto y un niño en edad escolar, y los $63,000 para un adulto y un niño en guardería. Sin embargo, el 71% de los hogares encabezados por mujeres solteras y el 53% de los encabezados por hombres solteros se encuentran por debajo de ese umbral. Estas familias son ALICE (Asset Limited, Income Constrained, Employed ), es decir, trabajan, pero aún les falta lo necesario para cubrir sus necesidades básicas. El ingreso garantizado complementa, en lugar de reemplazar, la red de seguridad social existente, y puede ser una herramienta para mejorar la equidad económica, racial y de género.</w:t>
      </w:r>
    </w:p>
    <w:p w14:paraId="1854BF22" w14:textId="77777777" w:rsidR="004E28DA" w:rsidRDefault="00000000">
      <w:pPr>
        <w:spacing w:before="300" w:after="110"/>
      </w:pPr>
      <w:r>
        <w:rPr>
          <w:rFonts w:ascii="Arial" w:eastAsia="Arial" w:hAnsi="Arial" w:cs="Arial"/>
          <w:b/>
          <w:bCs/>
          <w:color w:val="000000"/>
          <w:sz w:val="23"/>
          <w:szCs w:val="23"/>
        </w:rPr>
        <w:t>¿En qué se diferencia la renta garantizada de la renta básica universal y de los programas de transferencia de efectivo?</w:t>
      </w:r>
    </w:p>
    <w:p w14:paraId="063528FD" w14:textId="77777777" w:rsidR="004E28DA" w:rsidRDefault="00000000">
      <w:pPr>
        <w:spacing w:after="160" w:line="272" w:lineRule="auto"/>
      </w:pPr>
      <w:r>
        <w:rPr>
          <w:rFonts w:ascii="Arial" w:eastAsia="Arial" w:hAnsi="Arial" w:cs="Arial"/>
          <w:color w:val="000000"/>
          <w:sz w:val="22"/>
          <w:szCs w:val="22"/>
        </w:rPr>
        <w:t xml:space="preserve">El ingreso garantizado es específico: apoya a los grupos más afectados por las dificultades económicas, como complemento a los salarios, no como sustituto. En nuestra comunidad, 500 dólares al mes pueden cubrir una factura de servicios públicos o la reparación de un coche, lo suficiente para que una familia mantenga su estabilidad. El ingreso básico universal, en cambio, es incondicional, se </w:t>
      </w:r>
      <w:r>
        <w:rPr>
          <w:rFonts w:ascii="Arial" w:eastAsia="Arial" w:hAnsi="Arial" w:cs="Arial"/>
          <w:color w:val="000000"/>
          <w:sz w:val="22"/>
          <w:szCs w:val="22"/>
        </w:rPr>
        <w:lastRenderedPageBreak/>
        <w:t>otorga a todas las personas y está diseñado para cubrir todas las necesidades básicas. Los programas de transferencia de efectivo proporcionan dinero a las familias para reducir la pobreza y pueden estar sujetos a condiciones, como requisitos relacionados con la educación o la salud de los hijos.</w:t>
      </w:r>
    </w:p>
    <w:p w14:paraId="407216C6" w14:textId="77777777" w:rsidR="004E28DA" w:rsidRDefault="00000000">
      <w:pPr>
        <w:spacing w:before="300" w:after="110"/>
      </w:pPr>
      <w:r>
        <w:rPr>
          <w:rFonts w:ascii="Arial" w:eastAsia="Arial" w:hAnsi="Arial" w:cs="Arial"/>
          <w:b/>
          <w:bCs/>
          <w:color w:val="000000"/>
          <w:sz w:val="23"/>
          <w:szCs w:val="23"/>
        </w:rPr>
        <w:t>¿Por qué dar dinero en efectivo directamente a la gente?</w:t>
      </w:r>
    </w:p>
    <w:p w14:paraId="73E091DA" w14:textId="77777777" w:rsidR="004E28DA" w:rsidRDefault="00000000">
      <w:pPr>
        <w:spacing w:after="160" w:line="272" w:lineRule="auto"/>
      </w:pPr>
      <w:r>
        <w:rPr>
          <w:rFonts w:ascii="Arial" w:eastAsia="Arial" w:hAnsi="Arial" w:cs="Arial"/>
          <w:color w:val="000000"/>
          <w:sz w:val="22"/>
          <w:szCs w:val="22"/>
        </w:rPr>
        <w:t>Las investigaciones demuestran que quienes reciben dinero en efectivo, en su gran mayoría, lo destinan a cubrir necesidades básicas: vivienda, servicios públicos, alimentación y emergencias. Esta evidencia contradice la antigua creencia de que las personas en situación de pobreza no toman decisiones acertadas: sí lo hacen. El dinero en efectivo directo permite a las familias resolver sus problemas más urgentes, según sus propias condiciones.</w:t>
      </w:r>
    </w:p>
    <w:p w14:paraId="094855EE" w14:textId="77777777" w:rsidR="004E28DA" w:rsidRDefault="00000000">
      <w:pPr>
        <w:spacing w:before="300" w:after="110"/>
      </w:pPr>
      <w:r>
        <w:rPr>
          <w:rFonts w:ascii="Arial" w:eastAsia="Arial" w:hAnsi="Arial" w:cs="Arial"/>
          <w:b/>
          <w:bCs/>
          <w:color w:val="000000"/>
          <w:sz w:val="23"/>
          <w:szCs w:val="23"/>
        </w:rPr>
        <w:t>¿Dejará la gente de trabajar?</w:t>
      </w:r>
    </w:p>
    <w:p w14:paraId="37153725" w14:textId="77777777" w:rsidR="004E28DA" w:rsidRDefault="00000000">
      <w:pPr>
        <w:spacing w:after="160" w:line="272" w:lineRule="auto"/>
      </w:pPr>
      <w:r>
        <w:rPr>
          <w:rFonts w:ascii="Arial" w:eastAsia="Arial" w:hAnsi="Arial" w:cs="Arial"/>
          <w:color w:val="000000"/>
          <w:sz w:val="22"/>
          <w:szCs w:val="22"/>
        </w:rPr>
        <w:t>No. Décadas de investigación, tanto en Estados Unidos como en el extranjero, demuestran que el efecto sobre el empleo es mínimo o nulo. Con 500 dólares al mes, se trata de un ingreso mínimo, no de un sustituto del trabajo; no alcanza para vivir, pero sí para ayudar a estabilizar un hogar. En la práctica, el ingreso garantizado ha ayudado a las personas a acceder a mejores empleos, pagar el cuidado de los hijos y reducir sus deudas.</w:t>
      </w:r>
    </w:p>
    <w:p w14:paraId="1237B17A" w14:textId="77777777" w:rsidR="00852AC0" w:rsidRPr="00852AC0" w:rsidRDefault="00852AC0" w:rsidP="00852AC0">
      <w:pPr>
        <w:spacing w:after="150" w:line="276" w:lineRule="auto"/>
        <w:rPr>
          <w:rFonts w:asciiTheme="minorHAnsi" w:hAnsiTheme="minorHAnsi"/>
          <w:sz w:val="24"/>
          <w:szCs w:val="24"/>
          <w:lang w:val="es-MX"/>
        </w:rPr>
      </w:pPr>
      <w:r w:rsidRPr="00852AC0">
        <w:rPr>
          <w:rFonts w:asciiTheme="minorHAnsi" w:eastAsia="Source Sans 3" w:hAnsiTheme="minorHAnsi" w:cs="Source Sans 3"/>
          <w:b/>
          <w:bCs/>
          <w:color w:val="1B1613"/>
          <w:sz w:val="24"/>
          <w:szCs w:val="24"/>
          <w:lang w:val="es-US"/>
        </w:rPr>
        <w:t>Para solicitar su participación en GRIT 3.0, debe cumplir los siguientes requisitos:</w:t>
      </w:r>
    </w:p>
    <w:p w14:paraId="7DA06052" w14:textId="77777777" w:rsidR="00852AC0" w:rsidRPr="00852AC0" w:rsidRDefault="00852AC0" w:rsidP="00852AC0">
      <w:pPr>
        <w:pStyle w:val="ListParagraph"/>
        <w:numPr>
          <w:ilvl w:val="0"/>
          <w:numId w:val="2"/>
        </w:numPr>
        <w:spacing w:after="80" w:line="276" w:lineRule="auto"/>
        <w:rPr>
          <w:rFonts w:asciiTheme="minorHAnsi" w:hAnsiTheme="minorHAnsi"/>
          <w:sz w:val="24"/>
          <w:szCs w:val="24"/>
          <w:lang w:val="es-MX"/>
        </w:rPr>
      </w:pPr>
      <w:r w:rsidRPr="00852AC0">
        <w:rPr>
          <w:rFonts w:asciiTheme="minorHAnsi" w:eastAsia="Source Sans 3" w:hAnsiTheme="minorHAnsi" w:cs="Source Sans 3"/>
          <w:color w:val="1B1613"/>
          <w:sz w:val="24"/>
          <w:szCs w:val="24"/>
          <w:lang w:val="es-US"/>
        </w:rPr>
        <w:t>Ser cliente actual de Center for Strong Families y haber estado inscrito por al menos seis meses al momento de la fecha límite de la solicitud en alguno de los seis centros participantes: Sound Outreach Bethel, Sound Outreach Hilltop, Sound Outreach Sumner-Bonney Lake, Tacoma Community House Hilltop, Tacoma Community House Franklin Pierce o Goodwill of the Olympics &amp; Rainier Region.</w:t>
      </w:r>
    </w:p>
    <w:p w14:paraId="0C9C232D" w14:textId="77777777" w:rsidR="00852AC0" w:rsidRPr="00852AC0" w:rsidRDefault="00852AC0" w:rsidP="00852AC0">
      <w:pPr>
        <w:pStyle w:val="ListParagraph"/>
        <w:numPr>
          <w:ilvl w:val="0"/>
          <w:numId w:val="2"/>
        </w:numPr>
        <w:spacing w:after="80" w:line="276" w:lineRule="auto"/>
        <w:rPr>
          <w:rFonts w:asciiTheme="minorHAnsi" w:hAnsiTheme="minorHAnsi"/>
          <w:sz w:val="24"/>
          <w:szCs w:val="24"/>
          <w:lang w:val="es-MX"/>
        </w:rPr>
      </w:pPr>
      <w:r w:rsidRPr="00852AC0">
        <w:rPr>
          <w:rFonts w:asciiTheme="minorHAnsi" w:eastAsia="Source Sans 3" w:hAnsiTheme="minorHAnsi" w:cs="Source Sans 3"/>
          <w:color w:val="1B1613"/>
          <w:sz w:val="24"/>
          <w:szCs w:val="24"/>
          <w:lang w:val="es-US"/>
        </w:rPr>
        <w:t>Ser sostén de familia monoparental a cargo de la crianza de niños o adolescentes de 17 años o menos, o de 21 años o menos en caso de discapacidad.</w:t>
      </w:r>
    </w:p>
    <w:p w14:paraId="5CFE32B6" w14:textId="77777777" w:rsidR="00852AC0" w:rsidRPr="00852AC0" w:rsidRDefault="00852AC0" w:rsidP="00852AC0">
      <w:pPr>
        <w:pStyle w:val="ListParagraph"/>
        <w:numPr>
          <w:ilvl w:val="0"/>
          <w:numId w:val="2"/>
        </w:numPr>
        <w:spacing w:after="80" w:line="276" w:lineRule="auto"/>
        <w:rPr>
          <w:rFonts w:asciiTheme="minorHAnsi" w:hAnsiTheme="minorHAnsi"/>
          <w:sz w:val="24"/>
          <w:szCs w:val="24"/>
        </w:rPr>
      </w:pPr>
      <w:r w:rsidRPr="00852AC0">
        <w:rPr>
          <w:rFonts w:asciiTheme="minorHAnsi" w:eastAsia="Source Sans 3" w:hAnsiTheme="minorHAnsi" w:cs="Source Sans 3"/>
          <w:color w:val="1B1613"/>
          <w:sz w:val="24"/>
          <w:szCs w:val="24"/>
          <w:lang w:val="es-US"/>
        </w:rPr>
        <w:t>Tener trabajo actualmente.</w:t>
      </w:r>
    </w:p>
    <w:p w14:paraId="1EEC6741" w14:textId="77777777" w:rsidR="00852AC0" w:rsidRPr="00852AC0" w:rsidRDefault="00852AC0" w:rsidP="00852AC0">
      <w:pPr>
        <w:spacing w:after="60"/>
        <w:rPr>
          <w:rFonts w:asciiTheme="minorHAnsi" w:hAnsiTheme="minorHAnsi"/>
          <w:sz w:val="24"/>
          <w:szCs w:val="24"/>
        </w:rPr>
      </w:pPr>
    </w:p>
    <w:p w14:paraId="6E41FB1B" w14:textId="77777777" w:rsidR="00852AC0" w:rsidRDefault="00852AC0" w:rsidP="00852AC0">
      <w:pPr>
        <w:spacing w:after="150" w:line="276" w:lineRule="auto"/>
        <w:rPr>
          <w:rFonts w:asciiTheme="minorHAnsi" w:eastAsia="Source Sans 3" w:hAnsiTheme="minorHAnsi" w:cs="Source Sans 3"/>
          <w:color w:val="1B1613"/>
          <w:sz w:val="24"/>
          <w:szCs w:val="24"/>
          <w:lang w:val="es-US"/>
        </w:rPr>
      </w:pPr>
      <w:r w:rsidRPr="00852AC0">
        <w:rPr>
          <w:rFonts w:asciiTheme="minorHAnsi" w:eastAsia="Source Sans 3" w:hAnsiTheme="minorHAnsi" w:cs="Source Sans 3"/>
          <w:color w:val="1B1613"/>
          <w:sz w:val="24"/>
          <w:szCs w:val="24"/>
        </w:rPr>
        <w:t xml:space="preserve">Cualquier tipo de trabajo remunerado cuenta: a tiempo completo, a tiempo parcial, temporal, eventual, a través de aplicaciones o autónomo. </w:t>
      </w:r>
      <w:r w:rsidRPr="00852AC0">
        <w:rPr>
          <w:rFonts w:asciiTheme="minorHAnsi" w:eastAsia="Source Sans 3" w:hAnsiTheme="minorHAnsi" w:cs="Source Sans 3"/>
          <w:color w:val="1B1613"/>
          <w:sz w:val="24"/>
          <w:szCs w:val="24"/>
          <w:lang w:val="es-US"/>
        </w:rPr>
        <w:t>Si tiene trabajo, pero en este momento no recibe remuneración, por ejemplo, porque está de licencia, sigue siendo elegible.</w:t>
      </w:r>
    </w:p>
    <w:p w14:paraId="24BDDDD1" w14:textId="77777777" w:rsidR="00852AC0" w:rsidRPr="00852AC0" w:rsidRDefault="00852AC0" w:rsidP="00852AC0">
      <w:pPr>
        <w:spacing w:after="150" w:line="276" w:lineRule="auto"/>
        <w:rPr>
          <w:rFonts w:asciiTheme="minorHAnsi" w:hAnsiTheme="minorHAnsi"/>
          <w:sz w:val="24"/>
          <w:szCs w:val="24"/>
          <w:lang w:val="es-MX"/>
        </w:rPr>
      </w:pPr>
      <w:r w:rsidRPr="00852AC0">
        <w:rPr>
          <w:rFonts w:asciiTheme="minorHAnsi" w:eastAsia="Source Sans 3" w:hAnsiTheme="minorHAnsi" w:cs="Source Sans 3"/>
          <w:b/>
          <w:bCs/>
          <w:color w:val="1B1613"/>
          <w:sz w:val="24"/>
          <w:szCs w:val="24"/>
          <w:lang w:val="es-US"/>
        </w:rPr>
        <w:t>¿Tengo que participar en las encuestas y las sesiones de diálogo?</w:t>
      </w:r>
    </w:p>
    <w:p w14:paraId="22F36B2D" w14:textId="77777777" w:rsidR="00852AC0" w:rsidRPr="00852AC0" w:rsidRDefault="00852AC0" w:rsidP="00852AC0">
      <w:pPr>
        <w:spacing w:after="150" w:line="276" w:lineRule="auto"/>
        <w:rPr>
          <w:rFonts w:asciiTheme="minorHAnsi" w:hAnsiTheme="minorHAnsi"/>
          <w:sz w:val="24"/>
          <w:szCs w:val="24"/>
          <w:lang w:val="es-MX"/>
        </w:rPr>
      </w:pPr>
      <w:r w:rsidRPr="00852AC0">
        <w:rPr>
          <w:rFonts w:asciiTheme="minorHAnsi" w:eastAsia="Source Sans 3" w:hAnsiTheme="minorHAnsi" w:cs="Source Sans 3"/>
          <w:color w:val="1B1613"/>
          <w:sz w:val="24"/>
          <w:szCs w:val="24"/>
          <w:lang w:val="es-US"/>
        </w:rPr>
        <w:t>No. Participar en las encuestas y las sesiones de diálogo es opcional. Si decide participar, recibirá un incentivo por cada encuesta o sesión en la que participe. La primera solicitud no se paga.</w:t>
      </w:r>
    </w:p>
    <w:p w14:paraId="49A7C242" w14:textId="77777777" w:rsidR="004E28DA" w:rsidRDefault="00000000">
      <w:pPr>
        <w:spacing w:before="300" w:after="110"/>
      </w:pPr>
      <w:r>
        <w:rPr>
          <w:rFonts w:ascii="Arial" w:eastAsia="Arial" w:hAnsi="Arial" w:cs="Arial"/>
          <w:b/>
          <w:bCs/>
          <w:color w:val="000000"/>
          <w:sz w:val="23"/>
          <w:szCs w:val="23"/>
        </w:rPr>
        <w:t>¿Cómo sabremos si GRIT 3.0 funcionó?</w:t>
      </w:r>
    </w:p>
    <w:p w14:paraId="43D44AEC" w14:textId="77777777" w:rsidR="004E28DA" w:rsidRDefault="00000000">
      <w:pPr>
        <w:spacing w:after="160" w:line="272" w:lineRule="auto"/>
        <w:rPr>
          <w:rFonts w:ascii="Arial" w:eastAsia="Arial" w:hAnsi="Arial" w:cs="Arial"/>
          <w:color w:val="000000"/>
          <w:sz w:val="22"/>
          <w:szCs w:val="22"/>
        </w:rPr>
      </w:pPr>
      <w:r>
        <w:rPr>
          <w:rFonts w:ascii="Arial" w:eastAsia="Arial" w:hAnsi="Arial" w:cs="Arial"/>
          <w:color w:val="000000"/>
          <w:sz w:val="22"/>
          <w:szCs w:val="22"/>
        </w:rPr>
        <w:t>GRIT 3.0 se evaluará mediante encuestas a los participantes y sesiones de diálogo que documentarán cómo el ingreso mensual afecta la estabilidad y el bienestar de las familias. Los resultados se compartirán con nuestros socios y servirán de base para futuras iniciativas locales, estatales y federales de ingreso garantizado.</w:t>
      </w:r>
    </w:p>
    <w:p w14:paraId="0AF85C8C" w14:textId="77777777" w:rsidR="00852AC0" w:rsidRDefault="00852AC0">
      <w:pPr>
        <w:spacing w:after="160" w:line="272" w:lineRule="auto"/>
        <w:rPr>
          <w:rFonts w:ascii="Arial" w:eastAsia="Arial" w:hAnsi="Arial" w:cs="Arial"/>
          <w:color w:val="000000"/>
          <w:sz w:val="22"/>
          <w:szCs w:val="22"/>
        </w:rPr>
      </w:pPr>
    </w:p>
    <w:p w14:paraId="1F104D8B" w14:textId="77777777" w:rsidR="00852AC0" w:rsidRPr="00852AC0" w:rsidRDefault="00852AC0" w:rsidP="00852AC0">
      <w:pPr>
        <w:spacing w:after="150" w:line="276" w:lineRule="auto"/>
        <w:rPr>
          <w:rFonts w:asciiTheme="minorHAnsi" w:hAnsiTheme="minorHAnsi"/>
          <w:sz w:val="24"/>
          <w:szCs w:val="24"/>
          <w:lang w:val="es-MX"/>
        </w:rPr>
      </w:pPr>
      <w:r w:rsidRPr="00852AC0">
        <w:rPr>
          <w:rFonts w:asciiTheme="minorHAnsi" w:eastAsia="Source Sans 3" w:hAnsiTheme="minorHAnsi" w:cs="Source Sans 3"/>
          <w:b/>
          <w:bCs/>
          <w:color w:val="1B1613"/>
          <w:sz w:val="24"/>
          <w:szCs w:val="24"/>
          <w:lang w:val="es-US"/>
        </w:rPr>
        <w:lastRenderedPageBreak/>
        <w:t>¿Qué sucede si no me seleccionan inmediatamente?</w:t>
      </w:r>
    </w:p>
    <w:p w14:paraId="4F7B8817" w14:textId="77777777" w:rsidR="00852AC0" w:rsidRPr="00852AC0" w:rsidRDefault="00852AC0" w:rsidP="00852AC0">
      <w:pPr>
        <w:spacing w:after="150" w:line="276" w:lineRule="auto"/>
        <w:rPr>
          <w:rFonts w:asciiTheme="minorHAnsi" w:hAnsiTheme="minorHAnsi"/>
          <w:sz w:val="24"/>
          <w:szCs w:val="24"/>
          <w:lang w:val="es-MX"/>
        </w:rPr>
      </w:pPr>
      <w:r w:rsidRPr="00852AC0">
        <w:rPr>
          <w:rFonts w:asciiTheme="minorHAnsi" w:eastAsia="Source Sans 3" w:hAnsiTheme="minorHAnsi" w:cs="Source Sans 3"/>
          <w:color w:val="1B1613"/>
          <w:sz w:val="24"/>
          <w:szCs w:val="24"/>
          <w:lang w:val="es-US"/>
        </w:rPr>
        <w:t>El sorteo aleatorio ordena al azar a todos los solicitantes elegibles de su centro. Se seleccionan los primeros. Si una persona seleccionada no puede participar, se contactará a la siguiente persona en ese orden. Ser el siguiente en la lista no garantiza un lugar, pero significa que todavía podrán contactarlo si se libera un cupo.</w:t>
      </w:r>
    </w:p>
    <w:p w14:paraId="424B1D9F" w14:textId="77777777" w:rsidR="004E28DA" w:rsidRDefault="00000000">
      <w:pPr>
        <w:spacing w:before="300" w:after="110"/>
      </w:pPr>
      <w:r>
        <w:rPr>
          <w:rFonts w:ascii="Arial" w:eastAsia="Arial" w:hAnsi="Arial" w:cs="Arial"/>
          <w:b/>
          <w:bCs/>
          <w:color w:val="000000"/>
          <w:sz w:val="23"/>
          <w:szCs w:val="23"/>
        </w:rPr>
        <w:t>¿Qué ocurriría si GRIT 3.0 tuviera éxito?</w:t>
      </w:r>
    </w:p>
    <w:p w14:paraId="56BC2717" w14:textId="77777777" w:rsidR="004E28DA" w:rsidRDefault="00000000">
      <w:pPr>
        <w:spacing w:after="160" w:line="272" w:lineRule="auto"/>
      </w:pPr>
      <w:r>
        <w:rPr>
          <w:rFonts w:ascii="Arial" w:eastAsia="Arial" w:hAnsi="Arial" w:cs="Arial"/>
          <w:color w:val="000000"/>
          <w:sz w:val="22"/>
          <w:szCs w:val="22"/>
        </w:rPr>
        <w:t>Nuestra esperanza es que los datos y las historias de las manifestaciones de GRIT ayuden a que se adopte la renta básica garantizada a nivel local, estatal o nacional.</w:t>
      </w:r>
    </w:p>
    <w:p w14:paraId="0B347E64" w14:textId="77777777" w:rsidR="004E28DA" w:rsidRDefault="00000000">
      <w:pPr>
        <w:spacing w:before="300"/>
      </w:pPr>
      <w:r>
        <w:rPr>
          <w:rFonts w:ascii="Arial" w:eastAsia="Arial" w:hAnsi="Arial" w:cs="Arial"/>
          <w:i/>
          <w:iCs/>
          <w:color w:val="000000"/>
          <w:sz w:val="21"/>
          <w:szCs w:val="21"/>
        </w:rPr>
        <w:t>Para obtener más información sobre GRIT, visite el sitio web de United Way Pierce County o póngase en contacto con grit@uwpc.org.</w:t>
      </w:r>
    </w:p>
    <w:sectPr w:rsidR="004E28DA">
      <w:footerReference w:type="default" r:id="rId7"/>
      <w:pgSz w:w="12240" w:h="15840"/>
      <w:pgMar w:top="10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4B04B" w14:textId="77777777" w:rsidR="002552D0" w:rsidRDefault="002552D0">
      <w:r>
        <w:separator/>
      </w:r>
    </w:p>
  </w:endnote>
  <w:endnote w:type="continuationSeparator" w:id="0">
    <w:p w14:paraId="5900D20C" w14:textId="77777777" w:rsidR="002552D0" w:rsidRDefault="0025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ource Sans 3">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B1DB" w14:textId="77777777" w:rsidR="004E28DA" w:rsidRDefault="00000000">
    <w:pPr>
      <w:jc w:val="center"/>
    </w:pPr>
    <w:r>
      <w:rPr>
        <w:rFonts w:ascii="Arial" w:eastAsia="Arial" w:hAnsi="Arial" w:cs="Arial"/>
        <w:color w:val="666666"/>
        <w:sz w:val="16"/>
        <w:szCs w:val="16"/>
      </w:rPr>
      <w:t>GRIT — Preguntas frecuentes del programa · United Way del Condado de Pierce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76630" w14:textId="77777777" w:rsidR="002552D0" w:rsidRDefault="002552D0">
      <w:r>
        <w:separator/>
      </w:r>
    </w:p>
  </w:footnote>
  <w:footnote w:type="continuationSeparator" w:id="0">
    <w:p w14:paraId="0FDB345F" w14:textId="77777777" w:rsidR="002552D0" w:rsidRDefault="00255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30385"/>
    <w:multiLevelType w:val="hybridMultilevel"/>
    <w:tmpl w:val="7A6C0E70"/>
    <w:lvl w:ilvl="0" w:tplc="2A321D5A">
      <w:start w:val="1"/>
      <w:numFmt w:val="bullet"/>
      <w:lvlText w:val="•"/>
      <w:lvlJc w:val="left"/>
      <w:pPr>
        <w:ind w:left="403" w:hanging="244"/>
      </w:pPr>
    </w:lvl>
    <w:lvl w:ilvl="1" w:tplc="6C3C9F5A">
      <w:numFmt w:val="decimal"/>
      <w:lvlText w:val=""/>
      <w:lvlJc w:val="left"/>
    </w:lvl>
    <w:lvl w:ilvl="2" w:tplc="D5A26514">
      <w:numFmt w:val="decimal"/>
      <w:lvlText w:val=""/>
      <w:lvlJc w:val="left"/>
    </w:lvl>
    <w:lvl w:ilvl="3" w:tplc="06183CD4">
      <w:numFmt w:val="decimal"/>
      <w:lvlText w:val=""/>
      <w:lvlJc w:val="left"/>
    </w:lvl>
    <w:lvl w:ilvl="4" w:tplc="1FCC2AEC">
      <w:numFmt w:val="decimal"/>
      <w:lvlText w:val=""/>
      <w:lvlJc w:val="left"/>
    </w:lvl>
    <w:lvl w:ilvl="5" w:tplc="E6700D3C">
      <w:numFmt w:val="decimal"/>
      <w:lvlText w:val=""/>
      <w:lvlJc w:val="left"/>
    </w:lvl>
    <w:lvl w:ilvl="6" w:tplc="2EBEB520">
      <w:numFmt w:val="decimal"/>
      <w:lvlText w:val=""/>
      <w:lvlJc w:val="left"/>
    </w:lvl>
    <w:lvl w:ilvl="7" w:tplc="3F5C1B74">
      <w:numFmt w:val="decimal"/>
      <w:lvlText w:val=""/>
      <w:lvlJc w:val="left"/>
    </w:lvl>
    <w:lvl w:ilvl="8" w:tplc="A2FE5EF6">
      <w:numFmt w:val="decimal"/>
      <w:lvlText w:val=""/>
      <w:lvlJc w:val="left"/>
    </w:lvl>
  </w:abstractNum>
  <w:abstractNum w:abstractNumId="1" w15:restartNumberingAfterBreak="0">
    <w:nsid w:val="74886219"/>
    <w:multiLevelType w:val="hybridMultilevel"/>
    <w:tmpl w:val="97EA6518"/>
    <w:lvl w:ilvl="0" w:tplc="B4AE1604">
      <w:start w:val="1"/>
      <w:numFmt w:val="bullet"/>
      <w:lvlText w:val="●"/>
      <w:lvlJc w:val="left"/>
      <w:pPr>
        <w:ind w:left="720" w:hanging="360"/>
      </w:pPr>
    </w:lvl>
    <w:lvl w:ilvl="1" w:tplc="14600B6C">
      <w:start w:val="1"/>
      <w:numFmt w:val="bullet"/>
      <w:lvlText w:val="○"/>
      <w:lvlJc w:val="left"/>
      <w:pPr>
        <w:ind w:left="1440" w:hanging="360"/>
      </w:pPr>
    </w:lvl>
    <w:lvl w:ilvl="2" w:tplc="AAF290F4">
      <w:start w:val="1"/>
      <w:numFmt w:val="bullet"/>
      <w:lvlText w:val="■"/>
      <w:lvlJc w:val="left"/>
      <w:pPr>
        <w:ind w:left="2160" w:hanging="360"/>
      </w:pPr>
    </w:lvl>
    <w:lvl w:ilvl="3" w:tplc="82A206B6">
      <w:start w:val="1"/>
      <w:numFmt w:val="bullet"/>
      <w:lvlText w:val="●"/>
      <w:lvlJc w:val="left"/>
      <w:pPr>
        <w:ind w:left="2880" w:hanging="360"/>
      </w:pPr>
    </w:lvl>
    <w:lvl w:ilvl="4" w:tplc="E96094BA">
      <w:start w:val="1"/>
      <w:numFmt w:val="bullet"/>
      <w:lvlText w:val="○"/>
      <w:lvlJc w:val="left"/>
      <w:pPr>
        <w:ind w:left="3600" w:hanging="360"/>
      </w:pPr>
    </w:lvl>
    <w:lvl w:ilvl="5" w:tplc="4A1217EC">
      <w:start w:val="1"/>
      <w:numFmt w:val="bullet"/>
      <w:lvlText w:val="■"/>
      <w:lvlJc w:val="left"/>
      <w:pPr>
        <w:ind w:left="4320" w:hanging="360"/>
      </w:pPr>
    </w:lvl>
    <w:lvl w:ilvl="6" w:tplc="13A4CC9E">
      <w:start w:val="1"/>
      <w:numFmt w:val="bullet"/>
      <w:lvlText w:val="●"/>
      <w:lvlJc w:val="left"/>
      <w:pPr>
        <w:ind w:left="5040" w:hanging="360"/>
      </w:pPr>
    </w:lvl>
    <w:lvl w:ilvl="7" w:tplc="519E756C">
      <w:start w:val="1"/>
      <w:numFmt w:val="bullet"/>
      <w:lvlText w:val="●"/>
      <w:lvlJc w:val="left"/>
      <w:pPr>
        <w:ind w:left="5760" w:hanging="360"/>
      </w:pPr>
    </w:lvl>
    <w:lvl w:ilvl="8" w:tplc="273216E0">
      <w:start w:val="1"/>
      <w:numFmt w:val="bullet"/>
      <w:lvlText w:val="●"/>
      <w:lvlJc w:val="left"/>
      <w:pPr>
        <w:ind w:left="6480" w:hanging="360"/>
      </w:pPr>
    </w:lvl>
  </w:abstractNum>
  <w:num w:numId="1" w16cid:durableId="1563297885">
    <w:abstractNumId w:val="1"/>
    <w:lvlOverride w:ilvl="0">
      <w:startOverride w:val="1"/>
    </w:lvlOverride>
  </w:num>
  <w:num w:numId="2" w16cid:durableId="595243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8DA"/>
    <w:rsid w:val="001273B7"/>
    <w:rsid w:val="002552D0"/>
    <w:rsid w:val="00392D71"/>
    <w:rsid w:val="004A1E45"/>
    <w:rsid w:val="004E28DA"/>
    <w:rsid w:val="00550EDC"/>
    <w:rsid w:val="005D6194"/>
    <w:rsid w:val="00852AC0"/>
    <w:rsid w:val="00AB3895"/>
    <w:rsid w:val="00DD3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84F5C"/>
  <w15:docId w15:val="{699906AF-4EFA-4FBB-93FA-39AC73BB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1009</Words>
  <Characters>5756</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Fierce Buddha Consulting</dc:creator>
  <cp:lastModifiedBy>Mary Cassidy</cp:lastModifiedBy>
  <cp:revision>3</cp:revision>
  <dcterms:created xsi:type="dcterms:W3CDTF">2026-09-03T16:48:00Z</dcterms:created>
  <dcterms:modified xsi:type="dcterms:W3CDTF">2026-09-04T15:47:00Z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ede0d0be-9877-4905-9fd2-0383083d1be9</vt:lpwstr>
  </property>
</Properties>
</file>